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eastAsia" w:ascii="宋体" w:hAnsi="宋体" w:eastAsia="宋体" w:cs="宋体"/>
          <w:color w:val="000000" w:themeColor="text1"/>
          <w:highlight w:val="none"/>
          <w14:textFill>
            <w14:solidFill>
              <w14:schemeClr w14:val="tx1"/>
            </w14:solidFill>
          </w14:textFill>
        </w:rPr>
      </w:pPr>
      <w:bookmarkStart w:id="76" w:name="_GoBack"/>
      <w:bookmarkEnd w:id="76"/>
    </w:p>
    <w:p>
      <w:pPr>
        <w:shd w:val="clear"/>
        <w:topLinePunct/>
        <w:autoSpaceDE w:val="0"/>
        <w:autoSpaceDN w:val="0"/>
        <w:spacing w:line="24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磋商文件</w:t>
      </w:r>
    </w:p>
    <w:p>
      <w:pPr>
        <w:shd w:val="clear"/>
        <w:tabs>
          <w:tab w:val="center" w:pos="4427"/>
          <w:tab w:val="left" w:pos="7120"/>
        </w:tabs>
        <w:topLinePunct/>
        <w:autoSpaceDE w:val="0"/>
        <w:autoSpaceDN w:val="0"/>
        <w:snapToGrid w:val="0"/>
        <w:spacing w:line="240" w:lineRule="auto"/>
        <w:jc w:val="center"/>
        <w:outlineLvl w:val="0"/>
        <w:rPr>
          <w:rFonts w:hint="eastAsia" w:ascii="宋体" w:hAnsi="宋体" w:eastAsia="宋体" w:cs="宋体"/>
          <w:b/>
          <w:color w:val="000000" w:themeColor="text1"/>
          <w:sz w:val="44"/>
          <w:szCs w:val="44"/>
          <w:highlight w:val="none"/>
          <w14:textFill>
            <w14:solidFill>
              <w14:schemeClr w14:val="tx1"/>
            </w14:solidFill>
          </w14:textFill>
        </w:rPr>
      </w:pPr>
      <w:bookmarkStart w:id="0" w:name="_Toc12252"/>
      <w:r>
        <w:rPr>
          <w:rFonts w:hint="eastAsia" w:ascii="宋体" w:hAnsi="宋体" w:eastAsia="宋体" w:cs="宋体"/>
          <w:b/>
          <w:color w:val="000000" w:themeColor="text1"/>
          <w:sz w:val="30"/>
          <w:szCs w:val="30"/>
          <w:highlight w:val="none"/>
          <w14:textFill>
            <w14:solidFill>
              <w14:schemeClr w14:val="tx1"/>
            </w14:solidFill>
          </w14:textFill>
        </w:rPr>
        <w:t>（商务部分）</w:t>
      </w:r>
      <w:bookmarkEnd w:id="0"/>
    </w:p>
    <w:p>
      <w:pPr>
        <w:shd w:val="clear"/>
        <w:rPr>
          <w:rFonts w:hint="eastAsia" w:ascii="宋体" w:hAnsi="宋体" w:eastAsia="宋体" w:cs="宋体"/>
          <w:b/>
          <w:color w:val="000000" w:themeColor="text1"/>
          <w:sz w:val="44"/>
          <w:szCs w:val="44"/>
          <w:highlight w:val="none"/>
          <w14:textFill>
            <w14:solidFill>
              <w14:schemeClr w14:val="tx1"/>
            </w14:solidFill>
          </w14:textFill>
        </w:rPr>
      </w:pPr>
    </w:p>
    <w:p>
      <w:pPr>
        <w:pStyle w:val="3"/>
        <w:shd w:val="clear"/>
        <w:jc w:val="center"/>
        <w:rPr>
          <w:rFonts w:hint="eastAsia" w:ascii="宋体" w:hAnsi="宋体" w:eastAsia="宋体" w:cs="宋体"/>
          <w:b/>
          <w:color w:val="000000" w:themeColor="text1"/>
          <w:kern w:val="0"/>
          <w:sz w:val="30"/>
          <w:szCs w:val="72"/>
          <w:highlight w:val="none"/>
          <w14:textFill>
            <w14:solidFill>
              <w14:schemeClr w14:val="tx1"/>
            </w14:solidFill>
          </w14:textFill>
        </w:rPr>
      </w:pPr>
      <w:r>
        <w:rPr>
          <w:rFonts w:hint="eastAsia" w:ascii="宋体" w:hAnsi="宋体" w:eastAsia="宋体" w:cs="宋体"/>
          <w:b/>
          <w:color w:val="000000" w:themeColor="text1"/>
          <w:kern w:val="0"/>
          <w:sz w:val="30"/>
          <w:szCs w:val="72"/>
          <w:highlight w:val="none"/>
          <w14:textFill>
            <w14:solidFill>
              <w14:schemeClr w14:val="tx1"/>
            </w14:solidFill>
          </w14:textFill>
        </w:rPr>
        <w:t>（本项目为目录外标准下项目）</w:t>
      </w:r>
    </w:p>
    <w:p>
      <w:pPr>
        <w:pStyle w:val="2"/>
        <w:shd w:val="clear"/>
        <w:rPr>
          <w:rFonts w:hint="eastAsia" w:ascii="宋体" w:hAnsi="宋体" w:eastAsia="宋体" w:cs="宋体"/>
          <w:color w:val="000000" w:themeColor="text1"/>
          <w:highlight w:val="none"/>
          <w14:textFill>
            <w14:solidFill>
              <w14:schemeClr w14:val="tx1"/>
            </w14:solidFill>
          </w14:textFill>
        </w:rPr>
      </w:pPr>
    </w:p>
    <w:p>
      <w:pPr>
        <w:pStyle w:val="2"/>
        <w:shd w:val="clear"/>
        <w:tabs>
          <w:tab w:val="left" w:pos="5454"/>
        </w:tabs>
        <w:rPr>
          <w:rFonts w:hint="eastAsia" w:ascii="宋体" w:hAnsi="宋体" w:eastAsia="宋体" w:cs="宋体"/>
          <w:color w:val="000000" w:themeColor="text1"/>
          <w:highlight w:val="none"/>
          <w14:textFill>
            <w14:solidFill>
              <w14:schemeClr w14:val="tx1"/>
            </w14:solidFill>
          </w14:textFill>
        </w:rPr>
      </w:pPr>
    </w:p>
    <w:p>
      <w:pPr>
        <w:pStyle w:val="2"/>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480" w:lineRule="auto"/>
        <w:ind w:left="1959" w:leftChars="266" w:hanging="1400" w:hangingChars="5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bookmarkStart w:id="1" w:name="OLE_LINK1"/>
      <w:r>
        <w:rPr>
          <w:rFonts w:hint="eastAsia" w:ascii="宋体" w:hAnsi="宋体" w:eastAsia="宋体" w:cs="宋体"/>
          <w:color w:val="000000" w:themeColor="text1"/>
          <w:sz w:val="28"/>
          <w:szCs w:val="28"/>
          <w:highlight w:val="none"/>
          <w14:textFill>
            <w14:solidFill>
              <w14:schemeClr w14:val="tx1"/>
            </w14:solidFill>
          </w14:textFill>
        </w:rPr>
        <w:t>国家税务总局柳州市城中区税务局</w:t>
      </w:r>
    </w:p>
    <w:bookmarkEnd w:id="1"/>
    <w:p>
      <w:pPr>
        <w:shd w:val="clear"/>
        <w:spacing w:line="480" w:lineRule="auto"/>
        <w:ind w:firstLine="1960" w:firstLineChars="7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拍卖服务机构采购（重）</w:t>
      </w:r>
    </w:p>
    <w:p>
      <w:pPr>
        <w:shd w:val="clear"/>
        <w:spacing w:line="480" w:lineRule="auto"/>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FS（ZB3）2025026C（重）</w:t>
      </w:r>
    </w:p>
    <w:p>
      <w:pPr>
        <w:shd w:val="clear"/>
        <w:spacing w:line="48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 购 人：国家税务总局柳州市城中区税务局</w:t>
      </w:r>
    </w:p>
    <w:p>
      <w:pPr>
        <w:shd w:val="clear"/>
        <w:spacing w:line="48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采购代理机构：广西建设工程机电设备招标中心有限公司</w:t>
      </w:r>
    </w:p>
    <w:p>
      <w:pPr>
        <w:shd w:val="clear"/>
        <w:topLinePunct/>
        <w:autoSpaceDE w:val="0"/>
        <w:autoSpaceDN w:val="0"/>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pPr>
        <w:shd w:val="clear"/>
        <w:topLinePunct/>
        <w:autoSpaceDE w:val="0"/>
        <w:autoSpaceDN w:val="0"/>
        <w:spacing w:line="460" w:lineRule="exact"/>
        <w:jc w:val="center"/>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国家税务总局柳州市城中区税务局</w:t>
      </w:r>
    </w:p>
    <w:p>
      <w:pPr>
        <w:shd w:val="clea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2025年</w:t>
      </w:r>
      <w:r>
        <w:rPr>
          <w:rFonts w:hint="eastAsia" w:ascii="宋体" w:hAnsi="宋体" w:cs="宋体"/>
          <w:color w:val="000000" w:themeColor="text1"/>
          <w:sz w:val="28"/>
          <w:szCs w:val="28"/>
          <w:highlight w:val="none"/>
          <w:lang w:val="en-US" w:eastAsia="zh-CN"/>
          <w14:textFill>
            <w14:solidFill>
              <w14:schemeClr w14:val="tx1"/>
            </w14:solidFill>
          </w14:textFill>
        </w:rPr>
        <w:t>7月11日</w:t>
      </w:r>
    </w:p>
    <w:p>
      <w:pPr>
        <w:pStyle w:val="12"/>
        <w:shd w:val="clear"/>
        <w:rPr>
          <w:rFonts w:hint="eastAsia" w:ascii="宋体" w:hAnsi="宋体" w:eastAsia="宋体" w:cs="宋体"/>
          <w:color w:val="000000" w:themeColor="text1"/>
          <w:highlight w:val="none"/>
          <w14:textFill>
            <w14:solidFill>
              <w14:schemeClr w14:val="tx1"/>
            </w14:solidFill>
          </w14:textFill>
        </w:rPr>
        <w:sectPr>
          <w:footerReference r:id="rId8" w:type="first"/>
          <w:footerReference r:id="rId6" w:type="default"/>
          <w:headerReference r:id="rId5" w:type="even"/>
          <w:footerReference r:id="rId7" w:type="even"/>
          <w:pgSz w:w="11906" w:h="16838"/>
          <w:pgMar w:top="1440" w:right="1752" w:bottom="1440" w:left="1752" w:header="851" w:footer="992" w:gutter="0"/>
          <w:cols w:space="720" w:num="1"/>
          <w:titlePg/>
          <w:docGrid w:type="lines" w:linePitch="312" w:charSpace="0"/>
        </w:sect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36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2" w:name="_Toc8458"/>
      <w:r>
        <w:rPr>
          <w:rFonts w:hint="eastAsia" w:ascii="宋体" w:hAnsi="宋体" w:eastAsia="宋体" w:cs="宋体"/>
          <w:b/>
          <w:bCs/>
          <w:color w:val="000000" w:themeColor="text1"/>
          <w:sz w:val="28"/>
          <w:szCs w:val="28"/>
          <w:highlight w:val="none"/>
          <w:lang w:val="zh-CN"/>
          <w14:textFill>
            <w14:solidFill>
              <w14:schemeClr w14:val="tx1"/>
            </w14:solidFill>
          </w14:textFill>
        </w:rPr>
        <w:t>目  录</w:t>
      </w:r>
      <w:bookmarkEnd w:id="2"/>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"_Toc12252"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14:textFill>
            <w14:solidFill>
              <w14:schemeClr w14:val="tx1"/>
            </w14:solidFill>
          </w14:textFill>
        </w:rPr>
        <w:t>（商务部分）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_Toc12252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"_Toc20684"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第一章  磋商邀请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_Toc20684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第二章  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"_Toc26415"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供应商须知前附表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_Toc26415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"_Toc1897"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一、总则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"_Toc18664"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二、采购文件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_Toc18664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"_Toc11282"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三、响应文件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_Toc11282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"_Toc8466"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四、响应文件递交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_Toc8466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"_Toc26188"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五、磋商与评审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_Toc26188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"_Toc27356"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六、成交和合同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_Toc27356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"_Toc23972"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七、询问和质疑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_Toc23972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"_Toc19541"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八、其他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_Toc19541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"_Toc4566"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第三章  评审方法及标准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_Toc4566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"_Toc6284"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第四章  采购合同文本</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_Toc6284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"_Toc6893"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第五章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_Toc6893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"_Toc26732"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（技术部分）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_Toc26732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5"/>
        <w:shd w:val="clear"/>
        <w:tabs>
          <w:tab w:val="right" w:leader="dot" w:pos="8402"/>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"_Toc7247"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第六章  项目采购需求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_Toc7247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shd w:val="clear"/>
        <w:spacing w:before="0" w:beforeAutospacing="0" w:after="0" w:afterAutospacing="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pPr>
        <w:shd w:val="clear"/>
        <w:spacing w:before="0" w:beforeAutospacing="0" w:after="0" w:afterAutospacing="0" w:line="240" w:lineRule="auto"/>
        <w:rPr>
          <w:rFonts w:hint="eastAsia" w:ascii="宋体" w:hAnsi="宋体" w:eastAsia="宋体" w:cs="宋体"/>
          <w:b/>
          <w:color w:val="000000" w:themeColor="text1"/>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sectPr>
          <w:footerReference r:id="rId10" w:type="first"/>
          <w:footerReference r:id="rId9" w:type="default"/>
          <w:pgSz w:w="11906" w:h="16838"/>
          <w:pgMar w:top="1440" w:right="1752" w:bottom="1440" w:left="1752" w:header="851" w:footer="992" w:gutter="0"/>
          <w:pgNumType w:start="1"/>
          <w:cols w:space="720" w:num="1"/>
          <w:titlePg/>
          <w:docGrid w:type="lines" w:linePitch="312" w:charSpace="0"/>
        </w:sectPr>
      </w:pPr>
    </w:p>
    <w:p>
      <w:pPr>
        <w:shd w:val="clear"/>
        <w:spacing w:before="0" w:beforeAutospacing="0" w:after="0" w:afterAutospacing="0" w:line="36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3" w:name="_Toc18047"/>
      <w:bookmarkStart w:id="4" w:name="_Toc20684"/>
      <w:r>
        <w:rPr>
          <w:rFonts w:hint="eastAsia" w:ascii="宋体" w:hAnsi="宋体" w:eastAsia="宋体" w:cs="宋体"/>
          <w:b/>
          <w:bCs/>
          <w:color w:val="000000" w:themeColor="text1"/>
          <w:sz w:val="28"/>
          <w:szCs w:val="28"/>
          <w:highlight w:val="none"/>
          <w14:textFill>
            <w14:solidFill>
              <w14:schemeClr w14:val="tx1"/>
            </w14:solidFill>
          </w14:textFill>
        </w:rPr>
        <w:t>第一章  磋商邀请</w:t>
      </w:r>
      <w:bookmarkEnd w:id="3"/>
      <w:bookmarkEnd w:id="4"/>
    </w:p>
    <w:p>
      <w:pPr>
        <w:pBdr>
          <w:top w:val="single" w:color="auto" w:sz="4" w:space="1"/>
          <w:left w:val="single" w:color="auto" w:sz="4" w:space="4"/>
          <w:bottom w:val="single" w:color="auto" w:sz="4" w:space="1"/>
          <w:right w:val="single" w:color="auto" w:sz="4" w:space="4"/>
        </w:pBdr>
        <w:shd w:val="clear"/>
        <w:snapToGrid w:val="0"/>
        <w:spacing w:before="60" w:beforeAutospacing="0" w:after="6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hd w:val="clear"/>
        <w:wordWrap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国家税务总局柳州市城中区税务局拍卖服务机构采购（重）</w:t>
      </w:r>
      <w:r>
        <w:rPr>
          <w:rFonts w:hint="eastAsia" w:ascii="宋体" w:hAnsi="宋体" w:eastAsia="宋体" w:cs="宋体"/>
          <w:color w:val="000000" w:themeColor="text1"/>
          <w:szCs w:val="21"/>
          <w:highlight w:val="none"/>
          <w14:textFill>
            <w14:solidFill>
              <w14:schemeClr w14:val="tx1"/>
            </w14:solidFill>
          </w14:textFill>
        </w:rPr>
        <w:t>的潜在供应商应在</w:t>
      </w:r>
      <w:r>
        <w:rPr>
          <w:rFonts w:hint="eastAsia" w:ascii="宋体" w:hAnsi="宋体" w:eastAsia="宋体" w:cs="宋体"/>
          <w:color w:val="000000" w:themeColor="text1"/>
          <w:szCs w:val="21"/>
          <w:highlight w:val="none"/>
          <w:u w:val="single"/>
          <w14:textFill>
            <w14:solidFill>
              <w14:schemeClr w14:val="tx1"/>
            </w14:solidFill>
          </w14:textFill>
        </w:rPr>
        <w:t>广西阳光采购服务平台（行政事业国资专区）（https://ygcgxz.bbwcq.com）</w:t>
      </w:r>
      <w:r>
        <w:rPr>
          <w:rFonts w:hint="eastAsia" w:ascii="宋体" w:hAnsi="宋体" w:eastAsia="宋体" w:cs="宋体"/>
          <w:color w:val="000000" w:themeColor="text1"/>
          <w:szCs w:val="21"/>
          <w:highlight w:val="none"/>
          <w14:textFill>
            <w14:solidFill>
              <w14:schemeClr w14:val="tx1"/>
            </w14:solidFill>
          </w14:textFill>
        </w:rPr>
        <w:t>获取采购文件，并于</w:t>
      </w:r>
      <w:r>
        <w:rPr>
          <w:rFonts w:hint="eastAsia" w:ascii="宋体" w:hAnsi="宋体" w:eastAsia="宋体" w:cs="宋体"/>
          <w:color w:val="000000" w:themeColor="text1"/>
          <w:szCs w:val="21"/>
          <w:highlight w:val="none"/>
          <w:u w:val="single"/>
          <w14:textFill>
            <w14:solidFill>
              <w14:schemeClr w14:val="tx1"/>
            </w14:solidFill>
          </w14:textFill>
        </w:rPr>
        <w:t>2025</w:t>
      </w:r>
      <w:r>
        <w:rPr>
          <w:rFonts w:hint="eastAsia" w:ascii="宋体" w:hAnsi="宋体" w:eastAsia="宋体" w:cs="宋体"/>
          <w:bCs/>
          <w:color w:val="000000" w:themeColor="text1"/>
          <w:szCs w:val="21"/>
          <w:highlight w:val="none"/>
          <w:u w:val="single"/>
          <w14:textFill>
            <w14:solidFill>
              <w14:schemeClr w14:val="tx1"/>
            </w14:solidFill>
          </w14:textFill>
        </w:rPr>
        <w:t>年</w:t>
      </w:r>
      <w:r>
        <w:rPr>
          <w:rFonts w:hint="eastAsia" w:ascii="宋体" w:hAnsi="宋体" w:cs="宋体"/>
          <w:bCs/>
          <w:color w:val="000000" w:themeColor="text1"/>
          <w:szCs w:val="21"/>
          <w:highlight w:val="none"/>
          <w:u w:val="single"/>
          <w:lang w:val="en-US" w:eastAsia="zh-CN"/>
          <w14:textFill>
            <w14:solidFill>
              <w14:schemeClr w14:val="tx1"/>
            </w14:solidFill>
          </w14:textFill>
        </w:rPr>
        <w:t>7月22日</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15</w:t>
      </w:r>
      <w:r>
        <w:rPr>
          <w:rFonts w:hint="eastAsia" w:ascii="宋体" w:hAnsi="宋体" w:eastAsia="宋体" w:cs="宋体"/>
          <w:bCs/>
          <w:color w:val="000000" w:themeColor="text1"/>
          <w:szCs w:val="21"/>
          <w:highlight w:val="none"/>
          <w:u w:val="single"/>
          <w14:textFill>
            <w14:solidFill>
              <w14:schemeClr w14:val="tx1"/>
            </w14:solidFill>
          </w14:textFill>
        </w:rPr>
        <w:t>点</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0</w:t>
      </w:r>
      <w:r>
        <w:rPr>
          <w:rFonts w:hint="eastAsia" w:ascii="宋体" w:hAnsi="宋体" w:eastAsia="宋体" w:cs="宋体"/>
          <w:bCs/>
          <w:color w:val="000000" w:themeColor="text1"/>
          <w:szCs w:val="21"/>
          <w:highlight w:val="none"/>
          <w:u w:val="single"/>
          <w14:textFill>
            <w14:solidFill>
              <w14:schemeClr w14:val="tx1"/>
            </w14:solidFill>
          </w14:textFill>
        </w:rPr>
        <w:t>0分</w:t>
      </w:r>
      <w:r>
        <w:rPr>
          <w:rFonts w:hint="eastAsia" w:ascii="宋体" w:hAnsi="宋体" w:eastAsia="宋体" w:cs="宋体"/>
          <w:bCs/>
          <w:color w:val="000000" w:themeColor="text1"/>
          <w:szCs w:val="21"/>
          <w:highlight w:val="none"/>
          <w14:textFill>
            <w14:solidFill>
              <w14:schemeClr w14:val="tx1"/>
            </w14:solidFill>
          </w14:textFill>
        </w:rPr>
        <w:t>（北京时间）前提交响应文件</w:t>
      </w:r>
      <w:r>
        <w:rPr>
          <w:rFonts w:hint="eastAsia" w:ascii="宋体" w:hAnsi="宋体" w:eastAsia="宋体" w:cs="宋体"/>
          <w:color w:val="000000" w:themeColor="text1"/>
          <w:szCs w:val="21"/>
          <w:highlight w:val="none"/>
          <w14:textFill>
            <w14:solidFill>
              <w14:schemeClr w14:val="tx1"/>
            </w14:solidFill>
          </w14:textFill>
        </w:rPr>
        <w:t>。</w:t>
      </w:r>
    </w:p>
    <w:p>
      <w:pPr>
        <w:shd w:val="clear"/>
        <w:snapToGrid w:val="0"/>
        <w:spacing w:before="60" w:beforeAutospacing="0" w:after="6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一、项目基本情况</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lang w:eastAsia="zh-CN"/>
          <w14:textFill>
            <w14:solidFill>
              <w14:schemeClr w14:val="tx1"/>
            </w14:solidFill>
          </w14:textFill>
        </w:rPr>
        <w:t>FS（ZB3）2025026C（重）</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项目名称：国家税务总局柳州市城中区税务局拍卖服务机构采购（重）</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采购方式：磋商（本项目为目录外标准下项目）</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w:t>
      </w:r>
      <w:r>
        <w:rPr>
          <w:rFonts w:hint="eastAsia" w:ascii="宋体" w:hAnsi="宋体" w:eastAsia="宋体" w:cs="宋体"/>
          <w:color w:val="000000" w:themeColor="text1"/>
          <w:szCs w:val="21"/>
          <w:highlight w:val="none"/>
          <w:lang w:val="en-US" w:eastAsia="zh-CN"/>
          <w14:textFill>
            <w14:solidFill>
              <w14:schemeClr w14:val="tx1"/>
            </w14:solidFill>
          </w14:textFill>
        </w:rPr>
        <w:t>下浮系数≥0%</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采购需求：采购1家拍卖机构，作为负责城中区税务局抵税财物（以下简称“财物”）拍卖服务机构。需拍卖的罚没、抵税物资具有不确定性，随需即拍，具体要求详见本项目采购文件。</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服务期：自签订合同之日起至2028年</w:t>
      </w:r>
      <w:r>
        <w:rPr>
          <w:rFonts w:hint="eastAsia" w:ascii="宋体" w:hAnsi="宋体" w:cs="宋体"/>
          <w:color w:val="000000" w:themeColor="text1"/>
          <w:szCs w:val="21"/>
          <w:highlight w:val="none"/>
          <w:lang w:eastAsia="zh-CN"/>
          <w14:textFill>
            <w14:solidFill>
              <w14:schemeClr w14:val="tx1"/>
            </w14:solidFill>
          </w14:textFill>
        </w:rPr>
        <w:t>7月31日</w:t>
      </w:r>
      <w:r>
        <w:rPr>
          <w:rFonts w:hint="eastAsia" w:ascii="宋体" w:hAnsi="宋体" w:eastAsia="宋体" w:cs="宋体"/>
          <w:color w:val="000000" w:themeColor="text1"/>
          <w:szCs w:val="21"/>
          <w:highlight w:val="none"/>
          <w14:textFill>
            <w14:solidFill>
              <w14:schemeClr w14:val="tx1"/>
            </w14:solidFill>
          </w14:textFill>
        </w:rPr>
        <w:t>期间。</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本项目不接受联合体。</w:t>
      </w:r>
    </w:p>
    <w:p>
      <w:pPr>
        <w:shd w:val="clear"/>
        <w:snapToGrid w:val="0"/>
        <w:spacing w:before="60" w:beforeAutospacing="0" w:after="6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二、申请人的资格要求：</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符合国家</w:t>
      </w:r>
      <w:r>
        <w:rPr>
          <w:rFonts w:hint="eastAsia" w:ascii="宋体" w:hAnsi="宋体" w:eastAsia="宋体" w:cs="宋体"/>
          <w:color w:val="000000" w:themeColor="text1"/>
          <w:szCs w:val="21"/>
          <w:highlight w:val="none"/>
          <w14:textFill>
            <w14:solidFill>
              <w14:schemeClr w14:val="tx1"/>
            </w14:solidFill>
          </w14:textFill>
        </w:rPr>
        <w:t>有关</w:t>
      </w:r>
      <w:r>
        <w:rPr>
          <w:rFonts w:hint="eastAsia" w:ascii="宋体" w:hAnsi="宋体" w:eastAsia="宋体" w:cs="宋体"/>
          <w:color w:val="000000" w:themeColor="text1"/>
          <w:szCs w:val="21"/>
          <w:highlight w:val="none"/>
          <w:lang w:val="zh-CN"/>
          <w14:textFill>
            <w14:solidFill>
              <w14:schemeClr w14:val="tx1"/>
            </w14:solidFill>
          </w14:textFill>
        </w:rPr>
        <w:t>法律规定，在中国境内（指关境内）注册</w:t>
      </w:r>
      <w:r>
        <w:rPr>
          <w:rFonts w:hint="eastAsia" w:ascii="宋体" w:hAnsi="宋体" w:eastAsia="宋体" w:cs="宋体"/>
          <w:color w:val="000000" w:themeColor="text1"/>
          <w:szCs w:val="21"/>
          <w:highlight w:val="none"/>
          <w14:textFill>
            <w14:solidFill>
              <w14:schemeClr w14:val="tx1"/>
            </w14:solidFill>
          </w14:textFill>
        </w:rPr>
        <w:t>。</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2.供应商参加本采购活动应当具备下列条件：</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（2）具有良好的商业信誉和健全的财务会计制度；</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（3）具有履行合同所必需的设备和专业技术能力；</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（5）参加采购活动前三年内，在经营活动中没有重大违法记录；</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（6）法律、行政法规规定的其他条件。</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落实政府采购政策需满足的资格要求：本项目非专门面向中小企业采购的项目。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本项目采购标的对应的中小企业划分标准所属行业为</w:t>
      </w:r>
      <w:r>
        <w:rPr>
          <w:rFonts w:hint="eastAsia" w:ascii="宋体" w:hAnsi="宋体" w:cs="宋体"/>
          <w:color w:val="000000" w:themeColor="text1"/>
          <w:szCs w:val="21"/>
          <w:highlight w:val="none"/>
          <w:lang w:eastAsia="zh-CN"/>
          <w14:textFill>
            <w14:solidFill>
              <w14:schemeClr w14:val="tx1"/>
            </w14:solidFill>
          </w14:textFill>
        </w:rPr>
        <w:t>批发业</w:t>
      </w:r>
      <w:r>
        <w:rPr>
          <w:rFonts w:hint="eastAsia" w:ascii="宋体" w:hAnsi="宋体" w:eastAsia="宋体" w:cs="宋体"/>
          <w:color w:val="000000" w:themeColor="text1"/>
          <w:szCs w:val="21"/>
          <w:highlight w:val="none"/>
          <w14:textFill>
            <w14:solidFill>
              <w14:schemeClr w14:val="tx1"/>
            </w14:solidFill>
          </w14:textFill>
        </w:rPr>
        <w:t>。</w:t>
      </w:r>
    </w:p>
    <w:p>
      <w:pPr>
        <w:shd w:val="clear"/>
        <w:snapToGrid w:val="0"/>
        <w:spacing w:before="60" w:beforeAutospacing="0" w:after="60" w:afterAutospacing="0" w:line="440" w:lineRule="exact"/>
        <w:ind w:firstLine="420" w:firstLineChars="200"/>
        <w:rPr>
          <w:rFonts w:hint="eastAsia" w:ascii="宋体" w:hAnsi="宋体" w:eastAsia="宋体" w:cs="宋体"/>
          <w:snapToGrid w:val="0"/>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4.本项目的特定资格要求：供应商具备有效的《中华人民共和国拍卖经营批准证书》。</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5.本项目由符合国家有关法律法规规定、同时满足本项目资质要求、在中国境内的供应商参加磋商。</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6.对在“信用中国”网站〈www.creditchina.gov.cn&gt;</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7.单位负责人为同一人或者存在直接控股、管理关系的不同供应商，不得参加同一合同项下的采购活动。</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8.为本项目提供整体设计、规范编制或者项目管理、监理、检测等服务的供应商，不得再参加本次采购活动。</w:t>
      </w:r>
    </w:p>
    <w:p>
      <w:pPr>
        <w:shd w:val="clear"/>
        <w:snapToGrid w:val="0"/>
        <w:spacing w:before="60" w:beforeAutospacing="0" w:after="6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三、获取采购文件</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时间：2025年</w:t>
      </w:r>
      <w:r>
        <w:rPr>
          <w:rFonts w:hint="eastAsia" w:ascii="宋体" w:hAnsi="宋体" w:cs="宋体"/>
          <w:color w:val="000000" w:themeColor="text1"/>
          <w:szCs w:val="21"/>
          <w:highlight w:val="none"/>
          <w:lang w:val="en-US" w:eastAsia="zh-CN"/>
          <w14:textFill>
            <w14:solidFill>
              <w14:schemeClr w14:val="tx1"/>
            </w14:solidFill>
          </w14:textFill>
        </w:rPr>
        <w:t>7月11日</w:t>
      </w:r>
      <w:r>
        <w:rPr>
          <w:rFonts w:hint="eastAsia" w:ascii="宋体" w:hAnsi="宋体" w:eastAsia="宋体" w:cs="宋体"/>
          <w:color w:val="000000" w:themeColor="text1"/>
          <w:szCs w:val="21"/>
          <w:highlight w:val="none"/>
          <w14:textFill>
            <w14:solidFill>
              <w14:schemeClr w14:val="tx1"/>
            </w14:solidFill>
          </w14:textFill>
        </w:rPr>
        <w:t>至2025年</w:t>
      </w:r>
      <w:r>
        <w:rPr>
          <w:rFonts w:hint="eastAsia" w:ascii="宋体" w:hAnsi="宋体" w:cs="宋体"/>
          <w:color w:val="000000" w:themeColor="text1"/>
          <w:szCs w:val="21"/>
          <w:highlight w:val="none"/>
          <w:lang w:val="en-US" w:eastAsia="zh-CN"/>
          <w14:textFill>
            <w14:solidFill>
              <w14:schemeClr w14:val="tx1"/>
            </w14:solidFill>
          </w14:textFill>
        </w:rPr>
        <w:t>7月18日</w:t>
      </w:r>
      <w:r>
        <w:rPr>
          <w:rFonts w:hint="eastAsia" w:ascii="宋体" w:hAnsi="宋体" w:eastAsia="宋体" w:cs="宋体"/>
          <w:color w:val="000000" w:themeColor="text1"/>
          <w:szCs w:val="21"/>
          <w:highlight w:val="none"/>
          <w14:textFill>
            <w14:solidFill>
              <w14:schemeClr w14:val="tx1"/>
            </w14:solidFill>
          </w14:textFill>
        </w:rPr>
        <w:t>，每天上午8：00至12：00，下午3：00至6：00（北京时间，法定节假日除外）。</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地点：广西阳光采购服务平台（行政事业国资专区）（https://ygcgxz.bbwcq.com）</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方式：网上获取，供应商请登录广西阳光采购服务平台（行政事业国资专区）（https://ygcgxz.bbwcq.com）</w:t>
      </w:r>
      <w:r>
        <w:rPr>
          <w:rFonts w:hint="eastAsia" w:ascii="宋体" w:hAnsi="宋体" w:eastAsia="宋体" w:cs="宋体"/>
          <w:color w:val="000000" w:themeColor="text1"/>
          <w:szCs w:val="21"/>
          <w:highlight w:val="none"/>
          <w:lang w:bidi="ar"/>
          <w14:textFill>
            <w14:solidFill>
              <w14:schemeClr w14:val="tx1"/>
            </w14:solidFill>
          </w14:textFill>
        </w:rPr>
        <w:t>购买</w:t>
      </w:r>
      <w:r>
        <w:rPr>
          <w:rFonts w:hint="eastAsia" w:ascii="宋体" w:hAnsi="宋体" w:eastAsia="宋体" w:cs="宋体"/>
          <w:color w:val="000000" w:themeColor="text1"/>
          <w:szCs w:val="21"/>
          <w:highlight w:val="none"/>
          <w14:textFill>
            <w14:solidFill>
              <w14:schemeClr w14:val="tx1"/>
            </w14:solidFill>
          </w14:textFill>
        </w:rPr>
        <w:t>及下载采购</w:t>
      </w:r>
      <w:r>
        <w:rPr>
          <w:rFonts w:hint="eastAsia" w:ascii="宋体" w:hAnsi="宋体" w:eastAsia="宋体" w:cs="宋体"/>
          <w:color w:val="000000" w:themeColor="text1"/>
          <w:szCs w:val="21"/>
          <w:highlight w:val="none"/>
          <w:lang w:bidi="ar"/>
          <w14:textFill>
            <w14:solidFill>
              <w14:schemeClr w14:val="tx1"/>
            </w14:solidFill>
          </w14:textFill>
        </w:rPr>
        <w:t>文件</w:t>
      </w:r>
      <w:r>
        <w:rPr>
          <w:rFonts w:hint="eastAsia" w:ascii="宋体" w:hAnsi="宋体" w:eastAsia="宋体" w:cs="宋体"/>
          <w:color w:val="000000" w:themeColor="text1"/>
          <w:szCs w:val="21"/>
          <w:highlight w:val="none"/>
          <w14:textFill>
            <w14:solidFill>
              <w14:schemeClr w14:val="tx1"/>
            </w14:solidFill>
          </w14:textFill>
        </w:rPr>
        <w:t>。</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售价：¥250.00元，缴后</w:t>
      </w:r>
      <w:r>
        <w:rPr>
          <w:rFonts w:hint="eastAsia" w:ascii="宋体" w:hAnsi="宋体" w:eastAsia="宋体" w:cs="宋体"/>
          <w:color w:val="000000" w:themeColor="text1"/>
          <w:szCs w:val="21"/>
          <w:highlight w:val="none"/>
          <w:lang w:bidi="ar"/>
          <w14:textFill>
            <w14:solidFill>
              <w14:schemeClr w14:val="tx1"/>
            </w14:solidFill>
          </w14:textFill>
        </w:rPr>
        <w:t>不退</w:t>
      </w:r>
      <w:r>
        <w:rPr>
          <w:rFonts w:hint="eastAsia" w:ascii="宋体" w:hAnsi="宋体" w:eastAsia="宋体" w:cs="宋体"/>
          <w:color w:val="000000" w:themeColor="text1"/>
          <w:szCs w:val="21"/>
          <w:highlight w:val="none"/>
          <w14:textFill>
            <w14:solidFill>
              <w14:schemeClr w14:val="tx1"/>
            </w14:solidFill>
          </w14:textFill>
        </w:rPr>
        <w:t>。</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注册与登录：</w:t>
      </w:r>
    </w:p>
    <w:p>
      <w:pPr>
        <w:keepNext w:val="0"/>
        <w:keepLines w:val="0"/>
        <w:pageBreakBefore w:val="0"/>
        <w:widowControl w:val="0"/>
        <w:shd w:val="clear"/>
        <w:kinsoku/>
        <w:wordWrap w:val="0"/>
        <w:overflowPunct/>
        <w:topLinePunct w:val="0"/>
        <w:autoSpaceDE/>
        <w:autoSpaceDN/>
        <w:bidi w:val="0"/>
        <w:adjustRightInd/>
        <w:snapToGrid w:val="0"/>
        <w:spacing w:before="60" w:beforeAutospacing="0" w:after="60" w:afterAutospacing="0"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①注册：打开广西阳光采购服务平台（行政事业国资专区）官网（https://ygcgxz.bbwcq.com），进入门户首页点击“立即注册”，依“供应商操作手册”完善企业注册信息。</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②登录：访问https://ygcgxz.bbwcq.com/，在门户首页“平台登录入口”处点击“供应商”按钮，输入账号密码登录。</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③费用缴纳及文件获取：登录后，在系统左侧“我的项目”找到参与项目列表，点击“进入项目”。</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系统服务费缴纳：点击“支付系统服务费”，选在线缴纳进入支付详情页，点击“申请开票”确认信息后，再点“支付”生成二维码，用微信、支付宝或云闪付扫码支付。</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招标文件费缴纳：点击“支付文件费用”，按系统服务费缴纳方式操作。</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④下载文件：招标文件费缴清后，点击“下载”，按提示获取文件，未付服务费或文件费无法下载。</w:t>
      </w:r>
    </w:p>
    <w:p>
      <w:pPr>
        <w:shd w:val="clear"/>
        <w:wordWrap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⑤操作手册获取：详见</w:t>
      </w:r>
      <w:r>
        <w:rPr>
          <w:rFonts w:hint="eastAsia" w:ascii="宋体" w:hAnsi="宋体" w:eastAsia="宋体" w:cs="宋体"/>
          <w:color w:val="000000" w:themeColor="text1"/>
          <w:szCs w:val="21"/>
          <w:highlight w:val="none"/>
          <w:u w:val="single"/>
          <w14:textFill>
            <w14:solidFill>
              <w14:schemeClr w14:val="tx1"/>
            </w14:solidFill>
          </w14:textFill>
        </w:rPr>
        <w:t>https://ygcgxz.bbwcq.com/detail/10326/9284?timemap=1732882522782</w:t>
      </w:r>
      <w:r>
        <w:rPr>
          <w:rFonts w:hint="eastAsia" w:ascii="宋体" w:hAnsi="宋体" w:eastAsia="宋体" w:cs="宋体"/>
          <w:color w:val="000000" w:themeColor="text1"/>
          <w:szCs w:val="21"/>
          <w:highlight w:val="none"/>
          <w14:textFill>
            <w14:solidFill>
              <w14:schemeClr w14:val="tx1"/>
            </w14:solidFill>
          </w14:textFill>
        </w:rPr>
        <w:t>。</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如有疑问，请与平台客服联系：0771-5581051、5715031</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四、响应文件提交</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截止时间：2025年</w:t>
      </w:r>
      <w:r>
        <w:rPr>
          <w:rFonts w:hint="eastAsia" w:ascii="宋体" w:hAnsi="宋体" w:cs="宋体"/>
          <w:color w:val="000000" w:themeColor="text1"/>
          <w:szCs w:val="21"/>
          <w:highlight w:val="none"/>
          <w:lang w:val="en-US" w:eastAsia="zh-CN"/>
          <w14:textFill>
            <w14:solidFill>
              <w14:schemeClr w14:val="tx1"/>
            </w14:solidFill>
          </w14:textFill>
        </w:rPr>
        <w:t>7月22日</w:t>
      </w:r>
      <w:r>
        <w:rPr>
          <w:rFonts w:hint="eastAsia" w:ascii="宋体" w:hAnsi="宋体" w:eastAsia="宋体" w:cs="宋体"/>
          <w:color w:val="000000" w:themeColor="text1"/>
          <w:szCs w:val="21"/>
          <w:highlight w:val="none"/>
          <w:lang w:val="en-US" w:eastAsia="zh-CN"/>
          <w14:textFill>
            <w14:solidFill>
              <w14:schemeClr w14:val="tx1"/>
            </w14:solidFill>
          </w14:textFill>
        </w:rPr>
        <w:t>下</w:t>
      </w:r>
      <w:r>
        <w:rPr>
          <w:rFonts w:hint="eastAsia" w:ascii="宋体" w:hAnsi="宋体" w:eastAsia="宋体" w:cs="宋体"/>
          <w:color w:val="000000" w:themeColor="text1"/>
          <w:szCs w:val="21"/>
          <w:highlight w:val="none"/>
          <w14:textFill>
            <w14:solidFill>
              <w14:schemeClr w14:val="tx1"/>
            </w14:solidFill>
          </w14:textFill>
        </w:rPr>
        <w:t>午</w:t>
      </w:r>
      <w:r>
        <w:rPr>
          <w:rFonts w:hint="eastAsia" w:ascii="宋体" w:hAnsi="宋体" w:eastAsia="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点</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0分（北京时间）</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地点：南宁市青秀区枫林路18号广西国资交易中心（具体以电子屏幕开标项目场地安排信息为准），逾期送达的将予以拒收。</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五、开启</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时间：2025年</w:t>
      </w:r>
      <w:r>
        <w:rPr>
          <w:rFonts w:hint="eastAsia" w:ascii="宋体" w:hAnsi="宋体" w:cs="宋体"/>
          <w:color w:val="000000" w:themeColor="text1"/>
          <w:szCs w:val="21"/>
          <w:highlight w:val="none"/>
          <w:lang w:val="en-US" w:eastAsia="zh-CN"/>
          <w14:textFill>
            <w14:solidFill>
              <w14:schemeClr w14:val="tx1"/>
            </w14:solidFill>
          </w14:textFill>
        </w:rPr>
        <w:t>7月22日</w:t>
      </w:r>
      <w:r>
        <w:rPr>
          <w:rFonts w:hint="eastAsia" w:ascii="宋体" w:hAnsi="宋体" w:eastAsia="宋体" w:cs="宋体"/>
          <w:color w:val="000000" w:themeColor="text1"/>
          <w:szCs w:val="21"/>
          <w:highlight w:val="none"/>
          <w:lang w:val="en-US" w:eastAsia="zh-CN"/>
          <w14:textFill>
            <w14:solidFill>
              <w14:schemeClr w14:val="tx1"/>
            </w14:solidFill>
          </w14:textFill>
        </w:rPr>
        <w:t>下</w:t>
      </w:r>
      <w:r>
        <w:rPr>
          <w:rFonts w:hint="eastAsia" w:ascii="宋体" w:hAnsi="宋体" w:eastAsia="宋体" w:cs="宋体"/>
          <w:color w:val="000000" w:themeColor="text1"/>
          <w:szCs w:val="21"/>
          <w:highlight w:val="none"/>
          <w14:textFill>
            <w14:solidFill>
              <w14:schemeClr w14:val="tx1"/>
            </w14:solidFill>
          </w14:textFill>
        </w:rPr>
        <w:t>午</w:t>
      </w:r>
      <w:r>
        <w:rPr>
          <w:rFonts w:hint="eastAsia" w:ascii="宋体" w:hAnsi="宋体" w:eastAsia="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点</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0分后（北京时间）</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地点：南宁市青秀区枫林路18号广西国资交易中心评标室</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六、公告期限</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自本公告发布之日起3个工作日。</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七、其他补充事宜</w:t>
      </w:r>
    </w:p>
    <w:p>
      <w:pPr>
        <w:keepNext w:val="0"/>
        <w:keepLines w:val="0"/>
        <w:pageBreakBefore w:val="0"/>
        <w:widowControl w:val="0"/>
        <w:shd w:val="clear"/>
        <w:kinsoku/>
        <w:wordWrap w:val="0"/>
        <w:overflowPunct/>
        <w:topLinePunct w:val="0"/>
        <w:autoSpaceDE/>
        <w:autoSpaceDN/>
        <w:bidi w:val="0"/>
        <w:adjustRightInd/>
        <w:snapToGrid w:val="0"/>
        <w:spacing w:before="60" w:beforeAutospacing="0" w:after="60" w:afterAutospacing="0"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1.公告媒体：国家税务总局广西壮族自治区税务局柳州频道（http://guangxi.chinatax.gov.cn/liuzhou）、广西阳光采购服务平台（行政事业国资专区）（https://ygcgxz.bbwcq.com）、广西招标网（http://www.guangxibid.com.cn/）。</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2.本项目需要落实的政府采购政策：</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（1）政府采购促进中小企业发展。</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（2）政府采购促进残疾人就业政策。</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（3）政府采购支持监狱企业发展。</w:t>
      </w:r>
    </w:p>
    <w:p>
      <w:pPr>
        <w:shd w:val="clear"/>
        <w:snapToGrid w:val="0"/>
        <w:spacing w:before="60" w:beforeAutospacing="0" w:after="6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八、凡对本次采购提出询问，请按以下方式联系。</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1.采购人信息</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名称：国家税务总局柳州市城中区税务局</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地址：</w:t>
      </w:r>
      <w:r>
        <w:rPr>
          <w:rFonts w:hint="eastAsia" w:ascii="宋体" w:hAnsi="宋体" w:eastAsia="宋体" w:cs="宋体"/>
          <w:bCs/>
          <w:color w:val="000000" w:themeColor="text1"/>
          <w:szCs w:val="21"/>
          <w:highlight w:val="none"/>
          <w:lang w:val="en-US" w:eastAsia="zh-CN"/>
          <w14:textFill>
            <w14:solidFill>
              <w14:schemeClr w14:val="tx1"/>
            </w14:solidFill>
          </w14:textFill>
        </w:rPr>
        <w:t>柳州市城中区桂中大道19号</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w:t>
      </w:r>
      <w:r>
        <w:rPr>
          <w:rFonts w:hint="eastAsia" w:ascii="宋体" w:hAnsi="宋体" w:cs="宋体"/>
          <w:bCs/>
          <w:color w:val="000000" w:themeColor="text1"/>
          <w:szCs w:val="21"/>
          <w:highlight w:val="none"/>
          <w:lang w:val="en-US" w:eastAsia="zh-CN"/>
          <w14:textFill>
            <w14:solidFill>
              <w14:schemeClr w14:val="tx1"/>
            </w14:solidFill>
          </w14:textFill>
        </w:rPr>
        <w:t>闭建军</w:t>
      </w:r>
      <w:r>
        <w:rPr>
          <w:rFonts w:hint="eastAsia" w:ascii="宋体" w:hAnsi="宋体" w:eastAsia="宋体" w:cs="宋体"/>
          <w:bCs/>
          <w:color w:val="000000" w:themeColor="text1"/>
          <w:szCs w:val="21"/>
          <w:highlight w:val="none"/>
          <w:lang w:val="en-US" w:eastAsia="zh-CN"/>
          <w14:textFill>
            <w14:solidFill>
              <w14:schemeClr w14:val="tx1"/>
            </w14:solidFill>
          </w14:textFill>
        </w:rPr>
        <w:t>0772-2862373</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2.采购代理机构信息</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名称：广西建设工程机电设备招标中心有限公司</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地址：南宁市青秀区枫林路18号宏桂大厦裙楼3层</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联系方式：0771-2807659</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3、项目联系方式</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项目联系人：黄天懿、吴兴红</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电话：0771-2807659</w:t>
      </w: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pPr>
        <w:shd w:val="clear"/>
        <w:snapToGrid w:val="0"/>
        <w:spacing w:before="60" w:beforeAutospacing="0" w:after="60" w:afterAutospacing="0"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pPr>
        <w:shd w:val="clear"/>
        <w:snapToGrid w:val="0"/>
        <w:spacing w:before="60" w:beforeAutospacing="0" w:after="60" w:afterAutospacing="0" w:line="440" w:lineRule="exact"/>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2025年</w:t>
      </w:r>
      <w:r>
        <w:rPr>
          <w:rFonts w:hint="eastAsia" w:ascii="宋体" w:hAnsi="宋体" w:cs="宋体"/>
          <w:color w:val="000000" w:themeColor="text1"/>
          <w:szCs w:val="21"/>
          <w:highlight w:val="none"/>
          <w:lang w:val="en-US" w:eastAsia="zh-CN"/>
          <w14:textFill>
            <w14:solidFill>
              <w14:schemeClr w14:val="tx1"/>
            </w14:solidFill>
          </w14:textFill>
        </w:rPr>
        <w:t>7月11日</w:t>
      </w:r>
    </w:p>
    <w:p>
      <w:pPr>
        <w:shd w:val="clear"/>
        <w:snapToGrid w:val="0"/>
        <w:spacing w:before="60" w:beforeAutospacing="0" w:after="60" w:afterAutospacing="0" w:line="440" w:lineRule="exact"/>
        <w:rPr>
          <w:rFonts w:hint="eastAsia" w:ascii="宋体" w:hAnsi="宋体" w:eastAsia="宋体" w:cs="宋体"/>
          <w:color w:val="000000" w:themeColor="text1"/>
          <w:szCs w:val="21"/>
          <w:highlight w:val="none"/>
          <w14:textFill>
            <w14:solidFill>
              <w14:schemeClr w14:val="tx1"/>
            </w14:solidFill>
          </w14:textFill>
        </w:rPr>
      </w:pPr>
    </w:p>
    <w:p>
      <w:pPr>
        <w:pStyle w:val="13"/>
        <w:shd w:val="clear"/>
        <w:rPr>
          <w:rFonts w:hint="eastAsia" w:ascii="宋体" w:hAnsi="宋体" w:eastAsia="宋体" w:cs="宋体"/>
          <w:color w:val="000000" w:themeColor="text1"/>
          <w:highlight w:val="none"/>
          <w14:textFill>
            <w14:solidFill>
              <w14:schemeClr w14:val="tx1"/>
            </w14:solidFill>
          </w14:textFill>
        </w:rPr>
        <w:sectPr>
          <w:footerReference r:id="rId12" w:type="first"/>
          <w:footerReference r:id="rId11" w:type="default"/>
          <w:pgSz w:w="11906" w:h="16838"/>
          <w:pgMar w:top="1440" w:right="1752" w:bottom="1440" w:left="1752" w:header="851" w:footer="992" w:gutter="0"/>
          <w:pgNumType w:start="1"/>
          <w:cols w:space="720" w:num="1"/>
          <w:titlePg/>
          <w:docGrid w:type="lines" w:linePitch="312" w:charSpace="0"/>
        </w:sectPr>
      </w:pPr>
    </w:p>
    <w:p>
      <w:pPr>
        <w:shd w:val="clear"/>
        <w:spacing w:before="0" w:beforeAutospacing="0" w:after="0" w:afterAutospacing="0" w:line="36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5" w:name="_Toc1752"/>
      <w:bookmarkStart w:id="6" w:name="_Toc7231"/>
      <w:r>
        <w:rPr>
          <w:rFonts w:hint="eastAsia" w:ascii="宋体" w:hAnsi="宋体" w:eastAsia="宋体" w:cs="宋体"/>
          <w:b/>
          <w:bCs/>
          <w:color w:val="000000" w:themeColor="text1"/>
          <w:sz w:val="28"/>
          <w:szCs w:val="28"/>
          <w:highlight w:val="none"/>
          <w14:textFill>
            <w14:solidFill>
              <w14:schemeClr w14:val="tx1"/>
            </w14:solidFill>
          </w14:textFill>
        </w:rPr>
        <w:t>第二章  供应商须知</w:t>
      </w:r>
      <w:bookmarkEnd w:id="5"/>
      <w:bookmarkEnd w:id="6"/>
    </w:p>
    <w:p>
      <w:pPr>
        <w:shd w:val="clear"/>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7" w:name="_Toc26415"/>
      <w:bookmarkStart w:id="8" w:name="_Toc11956"/>
      <w:r>
        <w:rPr>
          <w:rFonts w:hint="eastAsia" w:ascii="宋体" w:hAnsi="宋体" w:eastAsia="宋体" w:cs="宋体"/>
          <w:b/>
          <w:bCs/>
          <w:color w:val="000000" w:themeColor="text1"/>
          <w:sz w:val="24"/>
          <w:szCs w:val="24"/>
          <w:highlight w:val="none"/>
          <w14:textFill>
            <w14:solidFill>
              <w14:schemeClr w14:val="tx1"/>
            </w14:solidFill>
          </w14:textFill>
        </w:rPr>
        <w:t>供应商须知前附表</w:t>
      </w:r>
      <w:bookmarkEnd w:id="7"/>
      <w:bookmarkEnd w:id="8"/>
    </w:p>
    <w:tbl>
      <w:tblPr>
        <w:tblStyle w:val="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29"/>
        <w:gridCol w:w="1006"/>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 号</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类  别</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829" w:type="dxa"/>
            <w:vMerge w:val="restart"/>
            <w:tcBorders>
              <w:top w:val="single" w:color="auto" w:sz="4" w:space="0"/>
              <w:left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项目名称、编号、预算及最高限价</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项目名称：国家税务总局柳州市城中区税务局拍卖服务机构采购（重）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29" w:type="dxa"/>
            <w:vMerge w:val="continue"/>
            <w:tcBorders>
              <w:left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lang w:eastAsia="zh-CN"/>
                <w14:textFill>
                  <w14:solidFill>
                    <w14:schemeClr w14:val="tx1"/>
                  </w14:solidFill>
                </w14:textFill>
              </w:rPr>
              <w:t>FS（ZB3）2025026C（重）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29" w:type="dxa"/>
            <w:vMerge w:val="continue"/>
            <w:tcBorders>
              <w:left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w:t>
            </w:r>
            <w:r>
              <w:rPr>
                <w:rFonts w:hint="eastAsia" w:ascii="宋体" w:hAnsi="宋体" w:eastAsia="宋体" w:cs="宋体"/>
                <w:color w:val="000000" w:themeColor="text1"/>
                <w:szCs w:val="21"/>
                <w:highlight w:val="none"/>
                <w:lang w:val="en-US" w:eastAsia="zh-CN"/>
                <w14:textFill>
                  <w14:solidFill>
                    <w14:schemeClr w14:val="tx1"/>
                  </w14:solidFill>
                </w14:textFill>
              </w:rPr>
              <w:t>下浮系数≥0%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详见《采购文件（技术部分）》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项目属性和类别</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项目属性：</w:t>
            </w:r>
            <w:r>
              <w:rPr>
                <w:rFonts w:hint="eastAsia" w:ascii="宋体" w:hAnsi="宋体" w:eastAsia="宋体" w:cs="宋体"/>
                <w:color w:val="000000" w:themeColor="text1"/>
                <w:szCs w:val="21"/>
                <w:highlight w:val="none"/>
                <w14:textFill>
                  <w14:solidFill>
                    <w14:schemeClr w14:val="tx1"/>
                  </w14:solidFill>
                </w14:textFill>
              </w:rPr>
              <w:t>□货物         ☑服务         □工程</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项目类别：</w:t>
            </w:r>
            <w:r>
              <w:rPr>
                <w:rFonts w:hint="eastAsia" w:ascii="宋体" w:hAnsi="宋体" w:eastAsia="宋体" w:cs="宋体"/>
                <w:color w:val="000000" w:themeColor="text1"/>
                <w:szCs w:val="21"/>
                <w:highlight w:val="none"/>
                <w14:textFill>
                  <w14:solidFill>
                    <w14:schemeClr w14:val="tx1"/>
                  </w14:solidFill>
                </w14:textFill>
              </w:rPr>
              <w:t>□信息化项目   ☑非信息化项目</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线上采购项目：</w:t>
            </w:r>
            <w:r>
              <w:rPr>
                <w:rFonts w:hint="eastAsia" w:ascii="宋体" w:hAnsi="宋体" w:eastAsia="宋体" w:cs="宋体"/>
                <w:color w:val="000000" w:themeColor="text1"/>
                <w:highlight w:val="none"/>
                <w14:textFill>
                  <w14:solidFill>
                    <w14:schemeClr w14:val="tx1"/>
                  </w14:solidFill>
                </w14:textFill>
              </w:rPr>
              <w:sym w:font="Wingdings 2" w:char="00A3"/>
            </w:r>
            <w:r>
              <w:rPr>
                <w:rFonts w:hint="eastAsia" w:ascii="宋体" w:hAnsi="宋体" w:eastAsia="宋体" w:cs="宋体"/>
                <w:color w:val="000000" w:themeColor="text1"/>
                <w:highlight w:val="none"/>
                <w14:textFill>
                  <w14:solidFill>
                    <w14:schemeClr w14:val="tx1"/>
                  </w14:solidFill>
                </w14:textFill>
              </w:rPr>
              <w:t xml:space="preserve">是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bCs/>
                <w:color w:val="000000" w:themeColor="text1"/>
                <w:szCs w:val="21"/>
                <w:highlight w:val="none"/>
                <w14:textFill>
                  <w14:solidFill>
                    <w14:schemeClr w14:val="tx1"/>
                  </w14:solidFill>
                </w14:textFill>
              </w:rPr>
              <w:t>国家税务总局柳州市城中区税务局</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bCs/>
                <w:color w:val="000000" w:themeColor="text1"/>
                <w:szCs w:val="21"/>
                <w:highlight w:val="none"/>
                <w:lang w:val="en-US" w:eastAsia="zh-CN"/>
                <w14:textFill>
                  <w14:solidFill>
                    <w14:schemeClr w14:val="tx1"/>
                  </w14:solidFill>
                </w14:textFill>
              </w:rPr>
              <w:t>柳州市城中区桂中大道19号</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r>
              <w:rPr>
                <w:rFonts w:hint="eastAsia" w:ascii="宋体" w:hAnsi="宋体" w:cs="宋体"/>
                <w:bCs/>
                <w:color w:val="000000" w:themeColor="text1"/>
                <w:szCs w:val="21"/>
                <w:highlight w:val="none"/>
                <w:lang w:val="en-US" w:eastAsia="zh-CN"/>
                <w14:textFill>
                  <w14:solidFill>
                    <w14:schemeClr w14:val="tx1"/>
                  </w14:solidFill>
                </w14:textFill>
              </w:rPr>
              <w:t>闭建军</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r>
              <w:rPr>
                <w:rFonts w:hint="eastAsia" w:ascii="宋体" w:hAnsi="宋体" w:eastAsia="宋体" w:cs="宋体"/>
                <w:color w:val="000000" w:themeColor="text1"/>
                <w:szCs w:val="21"/>
                <w:highlight w:val="none"/>
                <w:lang w:val="en-US" w:eastAsia="zh-CN"/>
                <w14:textFill>
                  <w14:solidFill>
                    <w14:schemeClr w14:val="tx1"/>
                  </w14:solidFill>
                </w14:textFill>
              </w:rPr>
              <w:t>0772-2862373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采购代理机构</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名称：广西建设工程机电设备招标中心有限公司</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bCs/>
                <w:color w:val="000000" w:themeColor="text1"/>
                <w:szCs w:val="21"/>
                <w:highlight w:val="none"/>
                <w14:textFill>
                  <w14:solidFill>
                    <w14:schemeClr w14:val="tx1"/>
                  </w14:solidFill>
                </w14:textFill>
              </w:rPr>
              <w:t>南宁市青秀区枫林路18号宏桂大厦裙楼3层</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r>
              <w:rPr>
                <w:rFonts w:hint="eastAsia" w:ascii="宋体" w:hAnsi="宋体" w:eastAsia="宋体" w:cs="宋体"/>
                <w:bCs/>
                <w:color w:val="000000" w:themeColor="text1"/>
                <w:highlight w:val="none"/>
                <w14:textFill>
                  <w14:solidFill>
                    <w14:schemeClr w14:val="tx1"/>
                  </w14:solidFill>
                </w14:textFill>
              </w:rPr>
              <w:t>黄天懿、吴兴红</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联系方式：0771-2807659</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邮箱：zbzx2807659@163.com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供应商产生方法</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公告</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供应商库抽取</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符合要求供应商家数</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是否允许符合要求的供应商只有2家时可以继续进行采购活动：</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否 </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是，[本项目属于</w:t>
            </w:r>
            <w:r>
              <w:rPr>
                <w:rFonts w:hint="eastAsia" w:ascii="宋体" w:hAnsi="宋体" w:eastAsia="宋体" w:cs="宋体"/>
                <w:i/>
                <w:color w:val="000000" w:themeColor="text1"/>
                <w:szCs w:val="21"/>
                <w:highlight w:val="none"/>
                <w:u w:val="single"/>
                <w:lang w:val="en-US" w:eastAsia="zh-CN"/>
                <w14:textFill>
                  <w14:solidFill>
                    <w14:schemeClr w14:val="tx1"/>
                  </w14:solidFill>
                </w14:textFill>
              </w:rPr>
              <w:t>非业主付费项目，参考目录外标准下项目相关执行办法，</w:t>
            </w:r>
            <w:r>
              <w:rPr>
                <w:rFonts w:hint="eastAsia" w:ascii="宋体" w:hAnsi="宋体" w:eastAsia="宋体" w:cs="宋体"/>
                <w:i/>
                <w:color w:val="000000" w:themeColor="text1"/>
                <w:sz w:val="21"/>
                <w:szCs w:val="21"/>
                <w:highlight w:val="none"/>
                <w:u w:val="single"/>
                <w:lang w:val="en-US" w:eastAsia="zh-CN"/>
                <w14:textFill>
                  <w14:solidFill>
                    <w14:schemeClr w14:val="tx1"/>
                  </w14:solidFill>
                </w14:textFill>
              </w:rPr>
              <w:t>仅有2家供应商响应的，经采购人同意后供应商可以为2家</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供应商资格要求</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符合国家</w:t>
            </w:r>
            <w:r>
              <w:rPr>
                <w:rFonts w:hint="eastAsia" w:ascii="宋体" w:hAnsi="宋体" w:eastAsia="宋体" w:cs="宋体"/>
                <w:color w:val="000000" w:themeColor="text1"/>
                <w:szCs w:val="21"/>
                <w:highlight w:val="none"/>
                <w14:textFill>
                  <w14:solidFill>
                    <w14:schemeClr w14:val="tx1"/>
                  </w14:solidFill>
                </w14:textFill>
              </w:rPr>
              <w:t>有关</w:t>
            </w:r>
            <w:r>
              <w:rPr>
                <w:rFonts w:hint="eastAsia" w:ascii="宋体" w:hAnsi="宋体" w:eastAsia="宋体" w:cs="宋体"/>
                <w:color w:val="000000" w:themeColor="text1"/>
                <w:szCs w:val="21"/>
                <w:highlight w:val="none"/>
                <w:lang w:val="zh-CN"/>
                <w14:textFill>
                  <w14:solidFill>
                    <w14:schemeClr w14:val="tx1"/>
                  </w14:solidFill>
                </w14:textFill>
              </w:rPr>
              <w:t>法律规定，在中国境内（指关境内）注册</w:t>
            </w:r>
            <w:r>
              <w:rPr>
                <w:rFonts w:hint="eastAsia" w:ascii="宋体" w:hAnsi="宋体" w:eastAsia="宋体" w:cs="宋体"/>
                <w:color w:val="000000" w:themeColor="text1"/>
                <w:szCs w:val="21"/>
                <w:highlight w:val="none"/>
                <w14:textFill>
                  <w14:solidFill>
                    <w14:schemeClr w14:val="tx1"/>
                  </w14:solidFill>
                </w14:textFill>
              </w:rPr>
              <w:t>。</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2.满足《中华人民共和国政府采购法》第二十二条规定；</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（1）具有独立</w:t>
            </w:r>
            <w:r>
              <w:rPr>
                <w:rFonts w:hint="eastAsia" w:ascii="宋体" w:hAnsi="宋体" w:eastAsia="宋体" w:cs="宋体"/>
                <w:color w:val="000000" w:themeColor="text1"/>
                <w:szCs w:val="21"/>
                <w:highlight w:val="none"/>
                <w14:textFill>
                  <w14:solidFill>
                    <w14:schemeClr w14:val="tx1"/>
                  </w14:solidFill>
                </w14:textFill>
              </w:rPr>
              <w:t>承担</w:t>
            </w:r>
            <w:r>
              <w:rPr>
                <w:rFonts w:hint="eastAsia" w:ascii="宋体" w:hAnsi="宋体" w:eastAsia="宋体" w:cs="宋体"/>
                <w:color w:val="000000" w:themeColor="text1"/>
                <w:szCs w:val="21"/>
                <w:highlight w:val="none"/>
                <w:lang w:val="zh-CN"/>
                <w14:textFill>
                  <w14:solidFill>
                    <w14:schemeClr w14:val="tx1"/>
                  </w14:solidFill>
                </w14:textFill>
              </w:rPr>
              <w:t>民事责任的能力；</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（2）具有良好的商业信誉和健全的财务会计制度；</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（3）具有履行</w:t>
            </w:r>
            <w:r>
              <w:rPr>
                <w:rFonts w:hint="eastAsia" w:ascii="宋体" w:hAnsi="宋体" w:eastAsia="宋体" w:cs="宋体"/>
                <w:color w:val="000000" w:themeColor="text1"/>
                <w:szCs w:val="21"/>
                <w:highlight w:val="none"/>
                <w14:textFill>
                  <w14:solidFill>
                    <w14:schemeClr w14:val="tx1"/>
                  </w14:solidFill>
                </w14:textFill>
              </w:rPr>
              <w:t>合同</w:t>
            </w:r>
            <w:r>
              <w:rPr>
                <w:rFonts w:hint="eastAsia" w:ascii="宋体" w:hAnsi="宋体" w:eastAsia="宋体" w:cs="宋体"/>
                <w:color w:val="000000" w:themeColor="text1"/>
                <w:szCs w:val="21"/>
                <w:highlight w:val="none"/>
                <w:lang w:val="zh-CN"/>
                <w14:textFill>
                  <w14:solidFill>
                    <w14:schemeClr w14:val="tx1"/>
                  </w14:solidFill>
                </w14:textFill>
              </w:rPr>
              <w:t>所必需的设备和专业技术能力；</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（4）有依法</w:t>
            </w:r>
            <w:r>
              <w:rPr>
                <w:rFonts w:hint="eastAsia" w:ascii="宋体" w:hAnsi="宋体" w:eastAsia="宋体" w:cs="宋体"/>
                <w:color w:val="000000" w:themeColor="text1"/>
                <w:szCs w:val="21"/>
                <w:highlight w:val="none"/>
                <w14:textFill>
                  <w14:solidFill>
                    <w14:schemeClr w14:val="tx1"/>
                  </w14:solidFill>
                </w14:textFill>
              </w:rPr>
              <w:t>缴纳</w:t>
            </w:r>
            <w:r>
              <w:rPr>
                <w:rFonts w:hint="eastAsia" w:ascii="宋体" w:hAnsi="宋体" w:eastAsia="宋体" w:cs="宋体"/>
                <w:color w:val="000000" w:themeColor="text1"/>
                <w:szCs w:val="21"/>
                <w:highlight w:val="none"/>
                <w:lang w:val="zh-CN"/>
                <w14:textFill>
                  <w14:solidFill>
                    <w14:schemeClr w14:val="tx1"/>
                  </w14:solidFill>
                </w14:textFill>
              </w:rPr>
              <w:t>税收和社会保障资金的良好记录；</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（5）参加</w:t>
            </w:r>
            <w:r>
              <w:rPr>
                <w:rFonts w:hint="eastAsia" w:ascii="宋体" w:hAnsi="宋体" w:eastAsia="宋体" w:cs="宋体"/>
                <w:color w:val="000000" w:themeColor="text1"/>
                <w:szCs w:val="21"/>
                <w:highlight w:val="none"/>
                <w14:textFill>
                  <w14:solidFill>
                    <w14:schemeClr w14:val="tx1"/>
                  </w14:solidFill>
                </w14:textFill>
              </w:rPr>
              <w:t>采购</w:t>
            </w:r>
            <w:r>
              <w:rPr>
                <w:rFonts w:hint="eastAsia" w:ascii="宋体" w:hAnsi="宋体" w:eastAsia="宋体" w:cs="宋体"/>
                <w:color w:val="000000" w:themeColor="text1"/>
                <w:szCs w:val="21"/>
                <w:highlight w:val="none"/>
                <w:lang w:val="zh-CN"/>
                <w14:textFill>
                  <w14:solidFill>
                    <w14:schemeClr w14:val="tx1"/>
                  </w14:solidFill>
                </w14:textFill>
              </w:rPr>
              <w:t>活动前三年内，在经营活动中没有重大违法记录；</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（6）法律、行政法规规定的其他条件。</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落实政府采购政策需满足的资格要求：本项目非专门面向中小企业采购的项目。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本项目采购标的对应的中小企业划分标准所属行业为</w:t>
            </w:r>
            <w:r>
              <w:rPr>
                <w:rFonts w:hint="eastAsia" w:ascii="宋体" w:hAnsi="宋体" w:cs="宋体"/>
                <w:color w:val="000000" w:themeColor="text1"/>
                <w:szCs w:val="21"/>
                <w:highlight w:val="none"/>
                <w:lang w:eastAsia="zh-CN"/>
                <w14:textFill>
                  <w14:solidFill>
                    <w14:schemeClr w14:val="tx1"/>
                  </w14:solidFill>
                </w14:textFill>
              </w:rPr>
              <w:t>批发业</w:t>
            </w:r>
            <w:r>
              <w:rPr>
                <w:rFonts w:hint="eastAsia" w:ascii="宋体" w:hAnsi="宋体" w:eastAsia="宋体" w:cs="宋体"/>
                <w:color w:val="000000" w:themeColor="text1"/>
                <w:szCs w:val="21"/>
                <w:highlight w:val="none"/>
                <w14:textFill>
                  <w14:solidFill>
                    <w14:schemeClr w14:val="tx1"/>
                  </w14:solidFill>
                </w14:textFill>
              </w:rPr>
              <w:t>。</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4.本项目的特定资格要求：供应商具备有效的《中华人民共和国拍卖经营批准证书》</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5.本项目由符合国家有关法律法规规定、同时满足本项目资质要求、在中国境内的供应商参加磋商。</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7.单位负责人为同一人或者存在直接控股、管理关系的不同供应商，不得参加同一合同项下的采购活动。</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是否接受联合体磋商</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☑不接受</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□接受（接受联合体且供应商为联合体的，供应商应提供联合体协议；否则无须提供）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采购标的对应的中小企业划分标准所属行业</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829" w:type="dxa"/>
            <w:tcBorders>
              <w:top w:val="single" w:color="auto" w:sz="4" w:space="0"/>
              <w:left w:val="single" w:color="auto" w:sz="4" w:space="0"/>
              <w:bottom w:val="single" w:color="auto" w:sz="4" w:space="0"/>
              <w:right w:val="single" w:color="auto" w:sz="4" w:space="0"/>
            </w:tcBorders>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非主体、非关键性工作分包</w:t>
            </w:r>
          </w:p>
        </w:tc>
        <w:tc>
          <w:tcPr>
            <w:tcW w:w="6492"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是否允许供应商将本项目的非主体、非关键性工作进行分包：</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采购包1：</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p>
            <w:pPr>
              <w:shd w:val="clear"/>
              <w:adjustRightInd w:val="0"/>
              <w:snapToGrid w:val="0"/>
              <w:spacing w:before="0" w:beforeAutospacing="0" w:after="0" w:afterAutospacing="0" w:line="440" w:lineRule="exact"/>
              <w:jc w:val="left"/>
              <w:rPr>
                <w:rFonts w:hint="eastAsia" w:ascii="宋体" w:hAnsi="宋体" w:eastAsia="宋体" w:cs="宋体"/>
                <w:i/>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□允许。</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采购包2：</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1829"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核心产品</w:t>
            </w:r>
          </w:p>
        </w:tc>
        <w:tc>
          <w:tcPr>
            <w:tcW w:w="6492" w:type="dxa"/>
            <w:gridSpan w:val="2"/>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货物类项目填写此栏</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adjustRightInd w:val="0"/>
              <w:snapToGrid w:val="0"/>
              <w:spacing w:before="0" w:beforeAutospacing="0" w:after="0" w:afterAutospacing="0" w:line="440" w:lineRule="exact"/>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本采购项目中，提供相同品牌产品且通过资格审查、实质性响应审查的不同供应商参加同一合同项下磋商的，按一家供应商计算，评审后得分最高的同品牌供应商获得推荐资格；评审得分相同的，由采购人或者采购人委托磋商小组按照</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的方式</w:t>
            </w:r>
            <w:r>
              <w:rPr>
                <w:rFonts w:hint="eastAsia" w:ascii="宋体" w:hAnsi="宋体" w:eastAsia="宋体" w:cs="宋体"/>
                <w:b/>
                <w:bCs/>
                <w:color w:val="000000" w:themeColor="text1"/>
                <w:szCs w:val="21"/>
                <w:highlight w:val="none"/>
                <w14:textFill>
                  <w14:solidFill>
                    <w14:schemeClr w14:val="tx1"/>
                  </w14:solidFill>
                </w14:textFill>
              </w:rPr>
              <w:t>确定一个供应商获得推荐资格，磋商文件未规定的采取随机抽取方式确定，其他同品牌供应商不作为成交候选人。</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单个采购包按以上条款计算的供应商家数不足规定家数的，则该采购包的采购活动结束。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1829"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采购进口产品</w:t>
            </w:r>
          </w:p>
        </w:tc>
        <w:tc>
          <w:tcPr>
            <w:tcW w:w="6492" w:type="dxa"/>
            <w:gridSpan w:val="2"/>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☑本采购项目拒绝进口产品参加磋商</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□本采购项目已经财政部审核同意购买进口产品</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1829"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信息发布媒体</w:t>
            </w:r>
          </w:p>
        </w:tc>
        <w:tc>
          <w:tcPr>
            <w:tcW w:w="6492" w:type="dxa"/>
            <w:gridSpan w:val="2"/>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（1）国家税务总局广西壮族自治区税务局柳州频道（http://guangxi.chinatax.gov.cn/liuzhou）</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（2）广西招标网（http://www.guangxibid.com.cn/）</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（3）广西阳光采购服务平台（行政事业国资专区）（https://ygcgxz.bbwcq.com）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获取采购文件</w:t>
            </w:r>
          </w:p>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时间、地点和</w:t>
            </w:r>
          </w:p>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方式等</w:t>
            </w:r>
          </w:p>
        </w:tc>
        <w:tc>
          <w:tcPr>
            <w:tcW w:w="6492" w:type="dxa"/>
            <w:gridSpan w:val="2"/>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时间：2025年</w:t>
            </w:r>
            <w:r>
              <w:rPr>
                <w:rFonts w:hint="eastAsia" w:ascii="宋体" w:hAnsi="宋体" w:cs="宋体"/>
                <w:color w:val="000000" w:themeColor="text1"/>
                <w:szCs w:val="21"/>
                <w:highlight w:val="none"/>
                <w:lang w:val="en-US" w:eastAsia="zh-CN"/>
                <w14:textFill>
                  <w14:solidFill>
                    <w14:schemeClr w14:val="tx1"/>
                  </w14:solidFill>
                </w14:textFill>
              </w:rPr>
              <w:t>7月11日</w:t>
            </w:r>
            <w:r>
              <w:rPr>
                <w:rFonts w:hint="eastAsia" w:ascii="宋体" w:hAnsi="宋体" w:eastAsia="宋体" w:cs="宋体"/>
                <w:color w:val="000000" w:themeColor="text1"/>
                <w:szCs w:val="21"/>
                <w:highlight w:val="none"/>
                <w14:textFill>
                  <w14:solidFill>
                    <w14:schemeClr w14:val="tx1"/>
                  </w14:solidFill>
                </w14:textFill>
              </w:rPr>
              <w:t>至2025年</w:t>
            </w:r>
            <w:r>
              <w:rPr>
                <w:rFonts w:hint="eastAsia" w:ascii="宋体" w:hAnsi="宋体" w:cs="宋体"/>
                <w:color w:val="000000" w:themeColor="text1"/>
                <w:szCs w:val="21"/>
                <w:highlight w:val="none"/>
                <w:lang w:val="en-US" w:eastAsia="zh-CN"/>
                <w14:textFill>
                  <w14:solidFill>
                    <w14:schemeClr w14:val="tx1"/>
                  </w14:solidFill>
                </w14:textFill>
              </w:rPr>
              <w:t>7月18日</w:t>
            </w:r>
            <w:r>
              <w:rPr>
                <w:rFonts w:hint="eastAsia" w:ascii="宋体" w:hAnsi="宋体" w:eastAsia="宋体" w:cs="宋体"/>
                <w:color w:val="000000" w:themeColor="text1"/>
                <w:szCs w:val="21"/>
                <w:highlight w:val="none"/>
                <w14:textFill>
                  <w14:solidFill>
                    <w14:schemeClr w14:val="tx1"/>
                  </w14:solidFill>
                </w14:textFill>
              </w:rPr>
              <w:t>每天上午8：00至12：00，下午3：00至6：00（北京时间，法定节假日除外）</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地点：供应商请登录广西阳光采购服务平台（行政事业国资专区）（https://ygcgxz.bbwcq.com）购买及下载招标文件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现场考察或召开磋商前答疑会</w:t>
            </w:r>
          </w:p>
        </w:tc>
        <w:tc>
          <w:tcPr>
            <w:tcW w:w="6492" w:type="dxa"/>
            <w:gridSpan w:val="2"/>
            <w:vAlign w:val="center"/>
          </w:tcPr>
          <w:p>
            <w:pPr>
              <w:shd w:val="clear"/>
              <w:tabs>
                <w:tab w:val="left" w:pos="0"/>
                <w:tab w:val="left" w:pos="420"/>
              </w:tabs>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☑不组织现场考察/召开磋商前答疑会</w:t>
            </w:r>
          </w:p>
          <w:p>
            <w:pPr>
              <w:shd w:val="clear"/>
              <w:tabs>
                <w:tab w:val="left" w:pos="0"/>
                <w:tab w:val="left" w:pos="420"/>
              </w:tabs>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组织现场考察/</w:t>
            </w:r>
            <w:r>
              <w:rPr>
                <w:rFonts w:hint="eastAsia" w:ascii="宋体" w:hAnsi="宋体" w:eastAsia="宋体" w:cs="宋体"/>
                <w:color w:val="000000" w:themeColor="text1"/>
                <w:szCs w:val="21"/>
                <w:highlight w:val="none"/>
                <w14:textFill>
                  <w14:solidFill>
                    <w14:schemeClr w14:val="tx1"/>
                  </w14:solidFill>
                </w14:textFill>
              </w:rPr>
              <w:t>召开磋商前答疑会</w:t>
            </w:r>
            <w:r>
              <w:rPr>
                <w:rFonts w:hint="eastAsia" w:ascii="宋体" w:hAnsi="宋体" w:eastAsia="宋体" w:cs="宋体"/>
                <w:bCs/>
                <w:color w:val="000000" w:themeColor="text1"/>
                <w:szCs w:val="21"/>
                <w:highlight w:val="none"/>
                <w14:textFill>
                  <w14:solidFill>
                    <w14:schemeClr w14:val="tx1"/>
                  </w14:solidFill>
                </w14:textFill>
              </w:rPr>
              <w:t>：</w:t>
            </w:r>
          </w:p>
          <w:p>
            <w:pPr>
              <w:shd w:val="clear"/>
              <w:tabs>
                <w:tab w:val="left" w:pos="0"/>
                <w:tab w:val="left" w:pos="420"/>
              </w:tabs>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（北京时间）</w:t>
            </w:r>
          </w:p>
          <w:p>
            <w:pPr>
              <w:shd w:val="clear"/>
              <w:tabs>
                <w:tab w:val="left" w:pos="0"/>
                <w:tab w:val="left" w:pos="420"/>
              </w:tabs>
              <w:adjustRightInd w:val="0"/>
              <w:snapToGrid w:val="0"/>
              <w:spacing w:before="0" w:beforeAutospacing="0" w:after="0" w:afterAutospacing="0" w:line="44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地点：</w:t>
            </w:r>
            <w:r>
              <w:rPr>
                <w:rFonts w:hint="eastAsia" w:ascii="宋体" w:hAnsi="宋体" w:eastAsia="宋体" w:cs="宋体"/>
                <w:b/>
                <w:color w:val="000000" w:themeColor="text1"/>
                <w:szCs w:val="21"/>
                <w:highlight w:val="none"/>
                <w:u w:val="single"/>
                <w14:textFill>
                  <w14:solidFill>
                    <w14:schemeClr w14:val="tx1"/>
                  </w14:solidFill>
                </w14:textFill>
              </w:rPr>
              <w:t xml:space="preserve">                 </w:t>
            </w:r>
          </w:p>
          <w:p>
            <w:pPr>
              <w:shd w:val="clear"/>
              <w:tabs>
                <w:tab w:val="left" w:pos="0"/>
                <w:tab w:val="left" w:pos="420"/>
              </w:tabs>
              <w:adjustRightInd w:val="0"/>
              <w:snapToGrid w:val="0"/>
              <w:spacing w:before="0" w:beforeAutospacing="0" w:after="0" w:afterAutospacing="0" w:line="44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联系人：</w:t>
            </w:r>
            <w:r>
              <w:rPr>
                <w:rFonts w:hint="eastAsia" w:ascii="宋体" w:hAnsi="宋体" w:eastAsia="宋体" w:cs="宋体"/>
                <w:b/>
                <w:color w:val="000000" w:themeColor="text1"/>
                <w:szCs w:val="21"/>
                <w:highlight w:val="none"/>
                <w:u w:val="single"/>
                <w14:textFill>
                  <w14:solidFill>
                    <w14:schemeClr w14:val="tx1"/>
                  </w14:solidFill>
                </w14:textFill>
              </w:rPr>
              <w:t xml:space="preserve">               </w:t>
            </w:r>
          </w:p>
          <w:p>
            <w:pPr>
              <w:shd w:val="clear"/>
              <w:tabs>
                <w:tab w:val="left" w:pos="0"/>
                <w:tab w:val="left" w:pos="420"/>
              </w:tabs>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联系电话：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0"/>
                <w:tab w:val="left" w:pos="42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样品</w:t>
            </w:r>
          </w:p>
        </w:tc>
        <w:tc>
          <w:tcPr>
            <w:tcW w:w="6492" w:type="dxa"/>
            <w:gridSpan w:val="2"/>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☑不要求提供</w:t>
            </w:r>
          </w:p>
          <w:p>
            <w:pPr>
              <w:shd w:val="clear"/>
              <w:adjustRightInd w:val="0"/>
              <w:snapToGrid w:val="0"/>
              <w:spacing w:before="0" w:beforeAutospacing="0" w:after="0" w:afterAutospacing="0" w:line="440" w:lineRule="exact"/>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要求提供：</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1.样品制作的标准和要求：____________________</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2.样品检测报告：（□否；□是，检测机构的要求、检测内容详见第六章项目采购需求）</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w:t>
            </w:r>
          </w:p>
        </w:tc>
        <w:tc>
          <w:tcPr>
            <w:tcW w:w="1829" w:type="dxa"/>
            <w:vMerge w:val="restart"/>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响应文件组成</w:t>
            </w:r>
          </w:p>
        </w:tc>
        <w:tc>
          <w:tcPr>
            <w:tcW w:w="1006" w:type="dxa"/>
            <w:vMerge w:val="restart"/>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商务部</w:t>
            </w:r>
            <w:r>
              <w:rPr>
                <w:rFonts w:hint="eastAsia" w:ascii="宋体" w:hAnsi="宋体" w:eastAsia="宋体" w:cs="宋体"/>
                <w:bCs/>
                <w:color w:val="000000" w:themeColor="text1"/>
                <w:szCs w:val="21"/>
                <w:highlight w:val="none"/>
                <w14:textFill>
                  <w14:solidFill>
                    <w14:schemeClr w14:val="tx1"/>
                  </w14:solidFill>
                </w14:textFill>
              </w:rPr>
              <w:t>分</w:t>
            </w:r>
          </w:p>
        </w:tc>
        <w:tc>
          <w:tcPr>
            <w:tcW w:w="5486" w:type="dxa"/>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一、资格证明文件：</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1.★供应商基本情况（法人或者其他组织的营业执照等证明文件，自然人的身份证明复印件）；</w:t>
            </w:r>
          </w:p>
          <w:p>
            <w:pPr>
              <w:shd w:val="clear"/>
              <w:adjustRightInd w:val="0"/>
              <w:snapToGrid w:val="0"/>
              <w:spacing w:before="0" w:beforeAutospacing="0" w:after="0" w:afterAutospacing="0" w:line="440" w:lineRule="exact"/>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2.★财务状况报告：20</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eastAsia="宋体" w:cs="宋体"/>
                <w:color w:val="000000" w:themeColor="text1"/>
                <w:szCs w:val="21"/>
                <w:highlight w:val="none"/>
                <w14:textFill>
                  <w14:solidFill>
                    <w14:schemeClr w14:val="tx1"/>
                  </w14:solidFill>
                </w14:textFill>
              </w:rPr>
              <w:t>年的经会计师事务所审计的财务报告（须提供加盖会计师事务所公章及注册会计师签章的复印件）；</w:t>
            </w:r>
            <w:r>
              <w:rPr>
                <w:rFonts w:hint="eastAsia" w:ascii="宋体" w:hAnsi="宋体" w:eastAsia="宋体" w:cs="宋体"/>
                <w:b/>
                <w:bCs/>
                <w:color w:val="000000" w:themeColor="text1"/>
                <w:szCs w:val="21"/>
                <w:highlight w:val="none"/>
                <w14:textFill>
                  <w14:solidFill>
                    <w14:schemeClr w14:val="tx1"/>
                  </w14:solidFill>
                </w14:textFill>
              </w:rPr>
              <w:t>没有经审计的财务报告的，可以提供基本开户银行出具的资信证明复印件</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或提供财务状况声明（详见第五章格式5-2）</w:t>
            </w:r>
            <w:r>
              <w:rPr>
                <w:rFonts w:hint="eastAsia" w:ascii="宋体" w:hAnsi="宋体" w:eastAsia="宋体" w:cs="宋体"/>
                <w:b/>
                <w:bCs/>
                <w:color w:val="000000" w:themeColor="text1"/>
                <w:szCs w:val="21"/>
                <w:highlight w:val="none"/>
                <w14:textFill>
                  <w14:solidFill>
                    <w14:schemeClr w14:val="tx1"/>
                  </w14:solidFill>
                </w14:textFill>
              </w:rPr>
              <w:t>；如供应商为竞标当年新成立公司的，</w:t>
            </w:r>
            <w:r>
              <w:rPr>
                <w:rFonts w:hint="eastAsia" w:ascii="宋体" w:hAnsi="宋体" w:cs="宋体"/>
                <w:b/>
                <w:bCs/>
                <w:color w:val="000000" w:themeColor="text1"/>
                <w:szCs w:val="21"/>
                <w:highlight w:val="none"/>
                <w:lang w:val="en-US" w:eastAsia="zh-CN"/>
                <w14:textFill>
                  <w14:solidFill>
                    <w14:schemeClr w14:val="tx1"/>
                  </w14:solidFill>
                </w14:textFill>
              </w:rPr>
              <w:t>可</w:t>
            </w:r>
            <w:r>
              <w:rPr>
                <w:rFonts w:hint="eastAsia" w:ascii="宋体" w:hAnsi="宋体" w:eastAsia="宋体" w:cs="宋体"/>
                <w:b/>
                <w:bCs/>
                <w:color w:val="000000" w:themeColor="text1"/>
                <w:szCs w:val="21"/>
                <w:highlight w:val="none"/>
                <w14:textFill>
                  <w14:solidFill>
                    <w14:schemeClr w14:val="tx1"/>
                  </w14:solidFill>
                </w14:textFill>
              </w:rPr>
              <w:t>提供于公司成立之日后的财务状况报告。</w:t>
            </w:r>
            <w:r>
              <w:rPr>
                <w:rFonts w:hint="eastAsia" w:ascii="宋体" w:hAnsi="宋体" w:eastAsia="宋体" w:cs="宋体"/>
                <w:color w:val="000000" w:themeColor="text1"/>
                <w:szCs w:val="21"/>
                <w:highlight w:val="none"/>
                <w14:textFill>
                  <w14:solidFill>
                    <w14:schemeClr w14:val="tx1"/>
                  </w14:solidFill>
                </w14:textFill>
              </w:rPr>
              <w:t>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3.★依法缴纳税收：</w:t>
            </w:r>
            <w:r>
              <w:rPr>
                <w:rFonts w:hint="eastAsia" w:ascii="宋体" w:hAnsi="宋体" w:eastAsia="宋体" w:cs="宋体"/>
                <w:color w:val="000000" w:themeColor="text1"/>
                <w:highlight w:val="none"/>
                <w14:textFill>
                  <w14:solidFill>
                    <w14:schemeClr w14:val="tx1"/>
                  </w14:solidFill>
                </w14:textFill>
              </w:rPr>
              <w:t>磋商截止之日前半年内供应商连续三个月的</w:t>
            </w:r>
            <w:r>
              <w:rPr>
                <w:rFonts w:hint="eastAsia" w:ascii="宋体" w:hAnsi="宋体" w:eastAsia="宋体" w:cs="宋体"/>
                <w:color w:val="000000" w:themeColor="text1"/>
                <w:szCs w:val="21"/>
                <w:highlight w:val="none"/>
                <w14:textFill>
                  <w14:solidFill>
                    <w14:schemeClr w14:val="tx1"/>
                  </w14:solidFill>
                </w14:textFill>
              </w:rPr>
              <w:t>依法缴纳税收（不包括个人所得税）的相关材料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如依法免税或不需要纳税的，应提供相应证明材料复印件</w:t>
            </w:r>
            <w:r>
              <w:rPr>
                <w:rFonts w:hint="eastAsia" w:ascii="宋体" w:hAnsi="宋体" w:eastAsia="宋体" w:cs="宋体"/>
                <w:color w:val="000000" w:themeColor="text1"/>
                <w:highlight w:val="none"/>
                <w14:textFill>
                  <w14:solidFill>
                    <w14:schemeClr w14:val="tx1"/>
                  </w14:solidFill>
                </w14:textFill>
              </w:rPr>
              <w:t>；供应商无纳税记录或为新成立公司，应提供由供应商所在地主管税务部门出具的《依法纳税或依法免税证明》（复印件）</w:t>
            </w:r>
            <w:r>
              <w:rPr>
                <w:rFonts w:hint="eastAsia" w:ascii="宋体" w:hAnsi="宋体" w:eastAsia="宋体" w:cs="宋体"/>
                <w:color w:val="000000" w:themeColor="text1"/>
                <w:szCs w:val="21"/>
                <w:highlight w:val="none"/>
                <w14:textFill>
                  <w14:solidFill>
                    <w14:schemeClr w14:val="tx1"/>
                  </w14:solidFill>
                </w14:textFill>
              </w:rPr>
              <w:t>；</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4.★社会保障资金：</w:t>
            </w:r>
            <w:r>
              <w:rPr>
                <w:rFonts w:hint="eastAsia" w:ascii="宋体" w:hAnsi="宋体" w:eastAsia="宋体" w:cs="宋体"/>
                <w:color w:val="000000" w:themeColor="text1"/>
                <w:highlight w:val="none"/>
                <w14:textFill>
                  <w14:solidFill>
                    <w14:schemeClr w14:val="tx1"/>
                  </w14:solidFill>
                </w14:textFill>
              </w:rPr>
              <w:t>磋商截止之日前半年内供应商</w:t>
            </w:r>
            <w:r>
              <w:rPr>
                <w:rFonts w:hint="eastAsia" w:ascii="宋体" w:hAnsi="宋体" w:cs="宋体"/>
                <w:color w:val="000000" w:themeColor="text1"/>
                <w:highlight w:val="none"/>
                <w:lang w:eastAsia="zh-CN"/>
                <w14:textFill>
                  <w14:solidFill>
                    <w14:schemeClr w14:val="tx1"/>
                  </w14:solidFill>
                </w14:textFill>
              </w:rPr>
              <w:t>连</w:t>
            </w:r>
            <w:r>
              <w:rPr>
                <w:rFonts w:hint="eastAsia" w:ascii="宋体" w:hAnsi="宋体" w:eastAsia="宋体" w:cs="宋体"/>
                <w:color w:val="000000" w:themeColor="text1"/>
                <w:highlight w:val="none"/>
                <w14:textFill>
                  <w14:solidFill>
                    <w14:schemeClr w14:val="tx1"/>
                  </w14:solidFill>
                </w14:textFill>
              </w:rPr>
              <w:t>续三个月的依法缴纳</w:t>
            </w:r>
            <w:r>
              <w:rPr>
                <w:rFonts w:hint="eastAsia" w:ascii="宋体" w:hAnsi="宋体" w:eastAsia="宋体" w:cs="宋体"/>
                <w:color w:val="000000" w:themeColor="text1"/>
                <w:szCs w:val="21"/>
                <w:highlight w:val="none"/>
                <w14:textFill>
                  <w14:solidFill>
                    <w14:schemeClr w14:val="tx1"/>
                  </w14:solidFill>
                </w14:textFill>
              </w:rPr>
              <w:t>社会保障资金的相关材料，如依法不需要缴纳社会保障资金的，则应提供相应证明材料复印件；</w:t>
            </w:r>
            <w:r>
              <w:rPr>
                <w:rFonts w:hint="eastAsia" w:ascii="宋体" w:hAnsi="宋体" w:eastAsia="宋体" w:cs="宋体"/>
                <w:color w:val="000000" w:themeColor="text1"/>
                <w:highlight w:val="none"/>
                <w14:textFill>
                  <w14:solidFill>
                    <w14:schemeClr w14:val="tx1"/>
                  </w14:solidFill>
                </w14:textFill>
              </w:rPr>
              <w:t>供应商无缴费记录或为新成立公司，应提供由供应商所在地社保部门出具的《依法缴纳或依法免缴社保费证明》（复印件）</w:t>
            </w:r>
            <w:r>
              <w:rPr>
                <w:rFonts w:hint="eastAsia" w:ascii="宋体" w:hAnsi="宋体" w:eastAsia="宋体" w:cs="宋体"/>
                <w:color w:val="000000" w:themeColor="text1"/>
                <w:szCs w:val="21"/>
                <w:highlight w:val="none"/>
                <w14:textFill>
                  <w14:solidFill>
                    <w14:schemeClr w14:val="tx1"/>
                  </w14:solidFill>
                </w14:textFill>
              </w:rPr>
              <w:t>；</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5.★参加采购活动前3年内在经营活动中没有重大违法记录的书面声明；</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6.★有效的《中华人民共和国拍卖经营批准证书》复印件</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29"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006" w:type="dxa"/>
            <w:vMerge w:val="continue"/>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
                <w:bCs/>
                <w:color w:val="000000" w:themeColor="text1"/>
                <w:szCs w:val="21"/>
                <w:highlight w:val="none"/>
                <w14:textFill>
                  <w14:solidFill>
                    <w14:schemeClr w14:val="tx1"/>
                  </w14:solidFill>
                </w14:textFill>
              </w:rPr>
            </w:pPr>
          </w:p>
        </w:tc>
        <w:tc>
          <w:tcPr>
            <w:tcW w:w="5486" w:type="dxa"/>
            <w:vAlign w:val="center"/>
          </w:tcPr>
          <w:p>
            <w:pPr>
              <w:shd w:val="clear"/>
              <w:adjustRightInd w:val="0"/>
              <w:snapToGrid w:val="0"/>
              <w:spacing w:before="0" w:beforeAutospacing="0" w:after="0" w:afterAutospacing="0" w:line="440" w:lineRule="exact"/>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w:t>
            </w:r>
            <w:r>
              <w:rPr>
                <w:rFonts w:hint="eastAsia" w:ascii="宋体" w:hAnsi="宋体" w:eastAsia="宋体" w:cs="宋体"/>
                <w:b/>
                <w:color w:val="000000" w:themeColor="text1"/>
                <w:szCs w:val="21"/>
                <w:highlight w:val="none"/>
                <w14:textFill>
                  <w14:solidFill>
                    <w14:schemeClr w14:val="tx1"/>
                  </w14:solidFill>
                </w14:textFill>
              </w:rPr>
              <w:t>报价一览表</w:t>
            </w:r>
            <w:r>
              <w:rPr>
                <w:rFonts w:hint="eastAsia" w:ascii="宋体" w:hAnsi="宋体" w:eastAsia="宋体" w:cs="宋体"/>
                <w:b/>
                <w:bCs/>
                <w:color w:val="000000" w:themeColor="text1"/>
                <w:szCs w:val="21"/>
                <w:highlight w:val="none"/>
                <w14:textFill>
                  <w14:solidFill>
                    <w14:schemeClr w14:val="tx1"/>
                  </w14:solidFill>
                </w14:textFill>
              </w:rPr>
              <w:t>：</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1.★磋商报价表；</w:t>
            </w:r>
          </w:p>
          <w:p>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b w:val="0"/>
                <w:bCs/>
                <w:color w:val="000000" w:themeColor="text1"/>
                <w:szCs w:val="21"/>
                <w:highlight w:val="none"/>
                <w14:textFill>
                  <w14:solidFill>
                    <w14:schemeClr w14:val="tx1"/>
                  </w14:solidFill>
                </w14:textFill>
              </w:rPr>
              <w:t>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29"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006" w:type="dxa"/>
            <w:vMerge w:val="continue"/>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
                <w:bCs/>
                <w:color w:val="000000" w:themeColor="text1"/>
                <w:szCs w:val="21"/>
                <w:highlight w:val="none"/>
                <w14:textFill>
                  <w14:solidFill>
                    <w14:schemeClr w14:val="tx1"/>
                  </w14:solidFill>
                </w14:textFill>
              </w:rPr>
            </w:pPr>
          </w:p>
        </w:tc>
        <w:tc>
          <w:tcPr>
            <w:tcW w:w="5486" w:type="dxa"/>
            <w:vAlign w:val="center"/>
          </w:tcPr>
          <w:p>
            <w:pPr>
              <w:widowControl/>
              <w:shd w:val="clear"/>
              <w:tabs>
                <w:tab w:val="left" w:pos="475"/>
                <w:tab w:val="left" w:pos="617"/>
              </w:tabs>
              <w:adjustRightInd w:val="0"/>
              <w:snapToGrid w:val="0"/>
              <w:spacing w:before="0" w:beforeAutospacing="0" w:after="0" w:afterAutospacing="0"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三、其他文件及资料：</w:t>
            </w:r>
          </w:p>
          <w:p>
            <w:pPr>
              <w:shd w:val="clear"/>
              <w:adjustRightInd w:val="0"/>
              <w:snapToGrid w:val="0"/>
              <w:spacing w:before="0" w:beforeAutospacing="0" w:after="0" w:afterAutospacing="0"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1.★授权委托书；</w:t>
            </w:r>
          </w:p>
          <w:p>
            <w:pPr>
              <w:shd w:val="clear"/>
              <w:adjustRightInd w:val="0"/>
              <w:snapToGrid w:val="0"/>
              <w:spacing w:before="0" w:beforeAutospacing="0" w:after="0" w:afterAutospacing="0"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2.★磋商响应函；</w:t>
            </w:r>
          </w:p>
          <w:p>
            <w:pPr>
              <w:shd w:val="clear"/>
              <w:adjustRightInd w:val="0"/>
              <w:snapToGrid w:val="0"/>
              <w:spacing w:before="0" w:beforeAutospacing="0" w:after="0" w:afterAutospacing="0"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3.★磋商保证金缴纳证明；</w:t>
            </w:r>
          </w:p>
          <w:p>
            <w:pPr>
              <w:shd w:val="clear"/>
              <w:adjustRightInd w:val="0"/>
              <w:snapToGrid w:val="0"/>
              <w:spacing w:before="0" w:beforeAutospacing="0" w:after="0" w:afterAutospacing="0"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4.★商务条款偏离表；</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5.中小企业声明函（中小企业参加磋商的，应按照《政府采购促进中小企业发展管理办法》（财库﹝2020﹞46号印发）《关于印发中小企业划型标准规定的通知》（工信部联企业〔2011〕300 号）如实填写并提交此函）；监狱企业证明文件[监狱企业参加磋商的，应提交省级以上监狱管理局、戒毒管理局（含新疆生产建设兵团）出具的证明文件复印件]；残疾人福利性单位声明函（残疾人福利性单位参加磋商的，应提交此函）；</w:t>
            </w:r>
          </w:p>
          <w:p>
            <w:pPr>
              <w:pStyle w:val="2"/>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Cs w:val="21"/>
                <w:highlight w:val="none"/>
                <w14:textFill>
                  <w14:solidFill>
                    <w14:schemeClr w14:val="tx1"/>
                  </w14:solidFill>
                </w14:textFill>
              </w:rPr>
              <w:t>6.供应商认为需要提供的其他说明和资料。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29"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06"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技术部分</w:t>
            </w:r>
          </w:p>
        </w:tc>
        <w:tc>
          <w:tcPr>
            <w:tcW w:w="5486" w:type="dxa"/>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技术条款偏离表；</w:t>
            </w:r>
          </w:p>
          <w:p>
            <w:pPr>
              <w:shd w:val="clear"/>
              <w:adjustRightInd w:val="0"/>
              <w:snapToGrid w:val="0"/>
              <w:spacing w:before="0" w:beforeAutospacing="0" w:after="0" w:afterAutospacing="0" w:line="440" w:lineRule="exact"/>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2.服务方案；</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3.供应商认为需要提供的其他说明和资料；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29"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6492" w:type="dxa"/>
            <w:gridSpan w:val="2"/>
            <w:vAlign w:val="center"/>
          </w:tcPr>
          <w:p>
            <w:pPr>
              <w:shd w:val="clear"/>
              <w:adjustRightInd w:val="0"/>
              <w:snapToGrid w:val="0"/>
              <w:spacing w:before="0" w:beforeAutospacing="0" w:after="0" w:afterAutospacing="0" w:line="44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1.以上带★的文件及资料未提供或提供的无效，则响应无效。</w:t>
            </w:r>
          </w:p>
          <w:p>
            <w:pPr>
              <w:shd w:val="clear"/>
              <w:adjustRightInd w:val="0"/>
              <w:snapToGrid w:val="0"/>
              <w:spacing w:before="0" w:beforeAutospacing="0" w:after="0" w:afterAutospacing="0" w:line="44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2.以上带★的文件，必须加盖供应商公章，否则按无效响应处理。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磋商响应有效期</w:t>
            </w:r>
          </w:p>
        </w:tc>
        <w:tc>
          <w:tcPr>
            <w:tcW w:w="6492" w:type="dxa"/>
            <w:gridSpan w:val="2"/>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从提交响应文件的截止之日起计算</w:t>
            </w:r>
            <w:r>
              <w:rPr>
                <w:rFonts w:hint="eastAsia" w:ascii="宋体" w:hAnsi="宋体" w:eastAsia="宋体" w:cs="宋体"/>
                <w:color w:val="000000" w:themeColor="text1"/>
                <w:szCs w:val="21"/>
                <w:highlight w:val="none"/>
                <w:u w:val="single"/>
                <w14:textFill>
                  <w14:solidFill>
                    <w14:schemeClr w14:val="tx1"/>
                  </w14:solidFill>
                </w14:textFill>
              </w:rPr>
              <w:t>90</w:t>
            </w:r>
            <w:r>
              <w:rPr>
                <w:rFonts w:hint="eastAsia" w:ascii="宋体" w:hAnsi="宋体" w:eastAsia="宋体" w:cs="宋体"/>
                <w:color w:val="000000" w:themeColor="text1"/>
                <w:szCs w:val="21"/>
                <w:highlight w:val="none"/>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提交响应文件方式、截止时间、地点</w:t>
            </w:r>
          </w:p>
        </w:tc>
        <w:tc>
          <w:tcPr>
            <w:tcW w:w="6492" w:type="dxa"/>
            <w:gridSpan w:val="2"/>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提交方式：纸质文件提交</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提交响应文件截止时间：2025年</w:t>
            </w:r>
            <w:r>
              <w:rPr>
                <w:rFonts w:hint="eastAsia" w:ascii="宋体" w:hAnsi="宋体" w:cs="宋体"/>
                <w:bCs/>
                <w:color w:val="000000" w:themeColor="text1"/>
                <w:szCs w:val="21"/>
                <w:highlight w:val="none"/>
                <w:lang w:val="en-US" w:eastAsia="zh-CN"/>
                <w14:textFill>
                  <w14:solidFill>
                    <w14:schemeClr w14:val="tx1"/>
                  </w14:solidFill>
                </w14:textFill>
              </w:rPr>
              <w:t>7月22日</w:t>
            </w:r>
            <w:r>
              <w:rPr>
                <w:rFonts w:hint="eastAsia" w:ascii="宋体" w:hAnsi="宋体" w:eastAsia="宋体" w:cs="宋体"/>
                <w:bCs/>
                <w:color w:val="000000" w:themeColor="text1"/>
                <w:szCs w:val="21"/>
                <w:highlight w:val="none"/>
                <w:lang w:val="en-US" w:eastAsia="zh-CN"/>
                <w14:textFill>
                  <w14:solidFill>
                    <w14:schemeClr w14:val="tx1"/>
                  </w14:solidFill>
                </w14:textFill>
              </w:rPr>
              <w:t>15</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0</w:t>
            </w:r>
            <w:r>
              <w:rPr>
                <w:rFonts w:hint="eastAsia" w:ascii="宋体" w:hAnsi="宋体" w:eastAsia="宋体" w:cs="宋体"/>
                <w:bCs/>
                <w:color w:val="000000" w:themeColor="text1"/>
                <w:szCs w:val="21"/>
                <w:highlight w:val="none"/>
                <w14:textFill>
                  <w14:solidFill>
                    <w14:schemeClr w14:val="tx1"/>
                  </w14:solidFill>
                </w14:textFill>
              </w:rPr>
              <w:t>0 （北京时间）</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地点：南宁市青秀区枫林路18号广西国资交易中心开标室 </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 0771-2807659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响应文件开启时间和地点</w:t>
            </w:r>
          </w:p>
        </w:tc>
        <w:tc>
          <w:tcPr>
            <w:tcW w:w="6492" w:type="dxa"/>
            <w:gridSpan w:val="2"/>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时间：2025年</w:t>
            </w:r>
            <w:r>
              <w:rPr>
                <w:rFonts w:hint="eastAsia" w:ascii="宋体" w:hAnsi="宋体" w:cs="宋体"/>
                <w:bCs/>
                <w:color w:val="000000" w:themeColor="text1"/>
                <w:szCs w:val="21"/>
                <w:highlight w:val="none"/>
                <w:lang w:val="en-US" w:eastAsia="zh-CN"/>
                <w14:textFill>
                  <w14:solidFill>
                    <w14:schemeClr w14:val="tx1"/>
                  </w14:solidFill>
                </w14:textFill>
              </w:rPr>
              <w:t>7月22日</w:t>
            </w:r>
            <w:r>
              <w:rPr>
                <w:rFonts w:hint="eastAsia" w:ascii="宋体" w:hAnsi="宋体" w:eastAsia="宋体" w:cs="宋体"/>
                <w:bCs/>
                <w:color w:val="000000" w:themeColor="text1"/>
                <w:szCs w:val="21"/>
                <w:highlight w:val="none"/>
                <w:lang w:val="en-US" w:eastAsia="zh-CN"/>
                <w14:textFill>
                  <w14:solidFill>
                    <w14:schemeClr w14:val="tx1"/>
                  </w14:solidFill>
                </w14:textFill>
              </w:rPr>
              <w:t>15</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0</w:t>
            </w:r>
            <w:r>
              <w:rPr>
                <w:rFonts w:hint="eastAsia" w:ascii="宋体" w:hAnsi="宋体" w:eastAsia="宋体" w:cs="宋体"/>
                <w:bCs/>
                <w:color w:val="000000" w:themeColor="text1"/>
                <w:szCs w:val="21"/>
                <w:highlight w:val="none"/>
                <w14:textFill>
                  <w14:solidFill>
                    <w14:schemeClr w14:val="tx1"/>
                  </w14:solidFill>
                </w14:textFill>
              </w:rPr>
              <w:t>0 后（北京时间）</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地点：南宁市青秀区枫林路18号广西国资交易中心评标室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w:t>
            </w:r>
          </w:p>
        </w:tc>
        <w:tc>
          <w:tcPr>
            <w:tcW w:w="1829" w:type="dxa"/>
            <w:vAlign w:val="center"/>
          </w:tcPr>
          <w:p>
            <w:pPr>
              <w:shd w:val="clear"/>
              <w:tabs>
                <w:tab w:val="left" w:pos="1875"/>
              </w:tabs>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磋商保证金</w:t>
            </w:r>
          </w:p>
        </w:tc>
        <w:tc>
          <w:tcPr>
            <w:tcW w:w="6492" w:type="dxa"/>
            <w:gridSpan w:val="2"/>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snapToGrid w:val="0"/>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□不要求提供</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√要求提供：（注：原则上数额不得超过采购项目预算金额的1%）</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（1）金额：</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采购包1：人民币</w:t>
            </w:r>
            <w:r>
              <w:rPr>
                <w:rFonts w:hint="eastAsia" w:ascii="宋体" w:hAnsi="宋体" w:eastAsia="宋体" w:cs="宋体"/>
                <w:color w:val="000000" w:themeColor="text1"/>
                <w:szCs w:val="21"/>
                <w:highlight w:val="none"/>
                <w:u w:val="none"/>
                <w:lang w:eastAsia="zh-CN"/>
                <w14:textFill>
                  <w14:solidFill>
                    <w14:schemeClr w14:val="tx1"/>
                  </w14:solidFill>
                </w14:textFill>
              </w:rPr>
              <w:t>（</w:t>
            </w:r>
            <w:r>
              <w:rPr>
                <w:rFonts w:hint="eastAsia" w:ascii="宋体" w:hAnsi="宋体" w:eastAsia="宋体" w:cs="宋体"/>
                <w:color w:val="000000" w:themeColor="text1"/>
                <w:szCs w:val="21"/>
                <w:highlight w:val="none"/>
                <w:u w:val="none"/>
                <w:lang w:val="en-US" w:eastAsia="zh-CN"/>
                <w14:textFill>
                  <w14:solidFill>
                    <w14:schemeClr w14:val="tx1"/>
                  </w14:solidFill>
                </w14:textFill>
              </w:rPr>
              <w:t>大写）</w:t>
            </w:r>
            <w:r>
              <w:rPr>
                <w:rFonts w:hint="eastAsia" w:ascii="宋体" w:hAnsi="宋体" w:eastAsia="宋体" w:cs="宋体"/>
                <w:color w:val="000000" w:themeColor="text1"/>
                <w:szCs w:val="21"/>
                <w:highlight w:val="none"/>
                <w:u w:val="none"/>
                <w:lang w:eastAsia="zh-CN"/>
                <w14:textFill>
                  <w14:solidFill>
                    <w14:schemeClr w14:val="tx1"/>
                  </w14:solidFill>
                </w14:textFill>
              </w:rPr>
              <w:t>壹万元</w:t>
            </w:r>
            <w:r>
              <w:rPr>
                <w:rFonts w:hint="eastAsia" w:ascii="宋体" w:hAnsi="宋体" w:eastAsia="宋体" w:cs="宋体"/>
                <w:color w:val="000000" w:themeColor="text1"/>
                <w:szCs w:val="21"/>
                <w:highlight w:val="none"/>
                <w:u w:val="none"/>
                <w14:textFill>
                  <w14:solidFill>
                    <w14:schemeClr w14:val="tx1"/>
                  </w14:solidFill>
                </w14:textFill>
              </w:rPr>
              <w:t>整（¥</w:t>
            </w:r>
            <w:r>
              <w:rPr>
                <w:rFonts w:hint="eastAsia" w:ascii="宋体" w:hAnsi="宋体" w:eastAsia="宋体" w:cs="宋体"/>
                <w:color w:val="000000" w:themeColor="text1"/>
                <w:szCs w:val="21"/>
                <w:highlight w:val="none"/>
                <w:u w:val="none"/>
                <w:lang w:eastAsia="zh-CN"/>
                <w14:textFill>
                  <w14:solidFill>
                    <w14:schemeClr w14:val="tx1"/>
                  </w14:solidFill>
                </w14:textFill>
              </w:rPr>
              <w:t>1</w:t>
            </w:r>
            <w:r>
              <w:rPr>
                <w:rFonts w:hint="eastAsia" w:ascii="宋体" w:hAnsi="宋体" w:eastAsia="宋体" w:cs="宋体"/>
                <w:color w:val="000000" w:themeColor="text1"/>
                <w:szCs w:val="21"/>
                <w:highlight w:val="none"/>
                <w:u w:val="none"/>
                <w:lang w:val="en-US" w:eastAsia="zh-CN"/>
                <w14:textFill>
                  <w14:solidFill>
                    <w14:schemeClr w14:val="tx1"/>
                  </w14:solidFill>
                </w14:textFill>
              </w:rPr>
              <w:t>0000</w:t>
            </w:r>
            <w:r>
              <w:rPr>
                <w:rFonts w:hint="eastAsia" w:ascii="宋体" w:hAnsi="宋体" w:eastAsia="宋体" w:cs="宋体"/>
                <w:color w:val="000000" w:themeColor="text1"/>
                <w:szCs w:val="21"/>
                <w:highlight w:val="none"/>
                <w:u w:val="none"/>
                <w14:textFill>
                  <w14:solidFill>
                    <w14:schemeClr w14:val="tx1"/>
                  </w14:solidFill>
                </w14:textFill>
              </w:rPr>
              <w:t>.00）。</w:t>
            </w:r>
          </w:p>
          <w:p>
            <w:pPr>
              <w:pStyle w:val="3"/>
              <w:shd w:val="clea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提交方式：银行转账、支票、汇票、本票或者金融、担保机构出具的保函，禁止采用现钞方式。采用银行转账方式的，在首次提交响应文件截止时间前交至采购代理机构指定账户并且到账；采用支票、汇票、本票或者保函等方式的，在首次提交响应文件截止时间前，供应商必须递交单独密封的支票、汇票、本票或者保函原件。否则视为无效磋商保证金。</w:t>
            </w:r>
          </w:p>
          <w:p>
            <w:pPr>
              <w:pStyle w:val="3"/>
              <w:shd w:val="clea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收款账户：广西建设工程机电设备招标中心有限公司</w:t>
            </w:r>
          </w:p>
          <w:p>
            <w:pPr>
              <w:pStyle w:val="3"/>
              <w:shd w:val="clea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开户银行：招商银行南宁分行营业部</w:t>
            </w:r>
          </w:p>
          <w:p>
            <w:pPr>
              <w:pStyle w:val="3"/>
              <w:shd w:val="clea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银行账户： 7719 0142 3310 201</w:t>
            </w:r>
          </w:p>
          <w:p>
            <w:pPr>
              <w:pStyle w:val="3"/>
              <w:shd w:val="clear"/>
              <w:spacing w:line="440" w:lineRule="exac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注：以电汇方式递交磋商保证金须在电汇凭据附言栏中写明采购编号、包号及用途（磋商保证金）。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w:t>
            </w:r>
          </w:p>
        </w:tc>
        <w:tc>
          <w:tcPr>
            <w:tcW w:w="1829" w:type="dxa"/>
            <w:vAlign w:val="center"/>
          </w:tcPr>
          <w:p>
            <w:pPr>
              <w:shd w:val="clear"/>
              <w:tabs>
                <w:tab w:val="left" w:pos="1875"/>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磋商保证金退还方式以及不予退还的情形</w:t>
            </w:r>
          </w:p>
        </w:tc>
        <w:tc>
          <w:tcPr>
            <w:tcW w:w="6492" w:type="dxa"/>
            <w:gridSpan w:val="2"/>
            <w:vAlign w:val="center"/>
          </w:tcPr>
          <w:p>
            <w:pPr>
              <w:shd w:val="clear"/>
              <w:topLinePunct/>
              <w:autoSpaceDE w:val="0"/>
              <w:autoSpaceDN w:val="0"/>
              <w:adjustRightInd w:val="0"/>
              <w:snapToGrid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未成交的供应商的磋商保证金，将在成交通知书发出后5个工作日内退还，但因供应商自身原因导致无法及时退还的除外。</w:t>
            </w:r>
          </w:p>
          <w:p>
            <w:pPr>
              <w:shd w:val="clear"/>
              <w:topLinePunct/>
              <w:autoSpaceDE w:val="0"/>
              <w:autoSpaceDN w:val="0"/>
              <w:adjustRightInd w:val="0"/>
              <w:snapToGrid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成交的供应商的磋商保证金，将在采购合同签订后5个工作日内退还。</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有下列情形之一的，磋商保证金将不予退还：</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（1）供应商在提交响应文件截止时间后撤回响应文件的；</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（2）供应商在响应文件中提供虚假材料的；</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（3）除因不可抗力或磋商文件认可的情形以外，不与采购人签订合同的；</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（4）供应商与采购人、其他供应商或者采购代理机构恶意串通的； </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（5）其他不予退还磋商保证金的情形：/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w:t>
            </w:r>
          </w:p>
        </w:tc>
        <w:tc>
          <w:tcPr>
            <w:tcW w:w="1829"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信用记录审查</w:t>
            </w:r>
          </w:p>
        </w:tc>
        <w:tc>
          <w:tcPr>
            <w:tcW w:w="6492" w:type="dxa"/>
            <w:gridSpan w:val="2"/>
            <w:vAlign w:val="center"/>
          </w:tcPr>
          <w:p>
            <w:pPr>
              <w:keepNext w:val="0"/>
              <w:keepLines w:val="0"/>
              <w:pageBreakBefore w:val="0"/>
              <w:widowControl w:val="0"/>
              <w:shd w:val="clear"/>
              <w:kinsoku/>
              <w:wordWrap w:val="0"/>
              <w:overflowPunct/>
              <w:topLinePunct w:val="0"/>
              <w:autoSpaceDE/>
              <w:autoSpaceDN/>
              <w:bidi w:val="0"/>
              <w:adjustRightInd w:val="0"/>
              <w:snapToGrid w:val="0"/>
              <w:spacing w:before="0" w:beforeAutospacing="0" w:after="0" w:afterAutospacing="0" w:line="440" w:lineRule="exact"/>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根据《财政部关于在政府采购活动中查询及使用信用记录有关问题的通知》（财库〔2016〕125号）规定，磋商小组将通过“信用中国”网站（www.creditchina.gov.cn）、中国政府采购网（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www.ccgp.gov.cn</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对供应商截至提交响应文件截止时间的信用记录进行审查，对列入失信被执行人、重大税收违法失信主体、政府采购严重违法失信行为记录名单及其他不符合《中华人民共和国政府采购法》第二十二条规定条件的供应商，其磋商响应将被拒绝。</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本次查询的信用记录仅限于本项目使用，查询结果将留存在采购档案中。</w:t>
            </w:r>
          </w:p>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在上述指定网站不能查询信用信息的供应商，应提供相关证明材料（原件加盖公章）。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支持中小型</w:t>
            </w:r>
          </w:p>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企业发展</w:t>
            </w:r>
          </w:p>
        </w:tc>
        <w:tc>
          <w:tcPr>
            <w:tcW w:w="6492" w:type="dxa"/>
            <w:gridSpan w:val="2"/>
            <w:vAlign w:val="center"/>
          </w:tcPr>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根据《政府采购促进中小型企业发展管理办法》（财库〔2020〕46号），鼓励中小企业参加本项目采购活动。</w:t>
            </w:r>
          </w:p>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在货物采购项目中，</w:t>
            </w:r>
            <w:r>
              <w:rPr>
                <w:rFonts w:hint="eastAsia" w:ascii="宋体" w:hAnsi="宋体" w:eastAsia="宋体" w:cs="宋体"/>
                <w:color w:val="000000" w:themeColor="text1"/>
                <w:szCs w:val="21"/>
                <w:highlight w:val="none"/>
                <w14:textFill>
                  <w14:solidFill>
                    <w14:schemeClr w14:val="tx1"/>
                  </w14:solidFill>
                </w14:textFill>
              </w:rPr>
              <w:t>满足所有标的均由中小企业制造，即所有标的均由中小企业生产且使用该中小企业商号或者注册商标的，可享受中小企业扶持政策。</w:t>
            </w:r>
          </w:p>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在服务采购项目中，</w:t>
            </w:r>
            <w:r>
              <w:rPr>
                <w:rFonts w:hint="eastAsia" w:ascii="宋体" w:hAnsi="宋体" w:eastAsia="宋体" w:cs="宋体"/>
                <w:color w:val="000000" w:themeColor="text1"/>
                <w:szCs w:val="21"/>
                <w:highlight w:val="none"/>
                <w14:textFill>
                  <w14:solidFill>
                    <w14:schemeClr w14:val="tx1"/>
                  </w14:solidFill>
                </w14:textFill>
              </w:rPr>
              <w:t>满足服务由中小企业承接，即提供服务的人员为中小企业依照《中华人民共和国劳动合同法》订立劳动合同的从业人员的，可享受中小企业扶持政策。</w:t>
            </w:r>
          </w:p>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在工程采购项目中，</w:t>
            </w:r>
            <w:r>
              <w:rPr>
                <w:rFonts w:hint="eastAsia" w:ascii="宋体" w:hAnsi="宋体" w:eastAsia="宋体" w:cs="宋体"/>
                <w:color w:val="000000" w:themeColor="text1"/>
                <w:szCs w:val="21"/>
                <w:highlight w:val="none"/>
                <w14:textFill>
                  <w14:solidFill>
                    <w14:schemeClr w14:val="tx1"/>
                  </w14:solidFill>
                </w14:textFill>
              </w:rPr>
              <w:t>满足工程由中小企业承建，即工程施工单位为中小企业，可享受中小企业扶持政策。</w:t>
            </w:r>
          </w:p>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w:t>
            </w:r>
          </w:p>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□专门面向中小企业采购项目。</w:t>
            </w:r>
          </w:p>
          <w:p>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Cs w:val="21"/>
                <w:highlight w:val="none"/>
                <w14:textFill>
                  <w14:solidFill>
                    <w14:schemeClr w14:val="tx1"/>
                  </w14:solidFill>
                </w14:textFill>
              </w:rPr>
              <w:t>本项目为专门面对中小企业项目，小微企业、监狱企业、残疾人福利性单位不再执行价格评审优惠的扶持政策。</w:t>
            </w:r>
          </w:p>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□预留份额面向中小企业采购项目（说明：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☑非专门面向中小企业采购项目。对小型和微型企业的报价给予</w:t>
            </w:r>
            <w:r>
              <w:rPr>
                <w:rFonts w:hint="eastAsia" w:ascii="宋体" w:hAnsi="宋体" w:eastAsia="宋体" w:cs="宋体"/>
                <w:color w:val="000000" w:themeColor="text1"/>
                <w:szCs w:val="21"/>
                <w:highlight w:val="none"/>
                <w:u w:val="single"/>
                <w14:textFill>
                  <w14:solidFill>
                    <w14:schemeClr w14:val="tx1"/>
                  </w14:solidFill>
                </w14:textFill>
              </w:rPr>
              <w:t xml:space="preserve">15 </w:t>
            </w:r>
            <w:r>
              <w:rPr>
                <w:rFonts w:hint="eastAsia" w:ascii="宋体" w:hAnsi="宋体" w:eastAsia="宋体" w:cs="宋体"/>
                <w:color w:val="000000" w:themeColor="text1"/>
                <w:szCs w:val="21"/>
                <w:highlight w:val="none"/>
                <w14:textFill>
                  <w14:solidFill>
                    <w14:schemeClr w14:val="tx1"/>
                  </w14:solidFill>
                </w14:textFill>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支持监狱企业发展</w:t>
            </w:r>
          </w:p>
        </w:tc>
        <w:tc>
          <w:tcPr>
            <w:tcW w:w="6492" w:type="dxa"/>
            <w:gridSpan w:val="2"/>
            <w:vAlign w:val="center"/>
          </w:tcPr>
          <w:p>
            <w:pPr>
              <w:shd w:val="clear"/>
              <w:adjustRightInd w:val="0"/>
              <w:snapToGrid w:val="0"/>
              <w:spacing w:before="0" w:beforeAutospacing="0" w:after="0" w:afterAutospacing="0" w:line="44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根据《关于政府采购支持监狱企业发展有关问题的通知》（财库〔2014〕68号），监狱企业视同小型、微型企业，按照</w:t>
            </w:r>
            <w:r>
              <w:rPr>
                <w:rFonts w:hint="eastAsia" w:ascii="宋体" w:hAnsi="宋体" w:eastAsia="宋体" w:cs="宋体"/>
                <w:b/>
                <w:bCs/>
                <w:color w:val="000000" w:themeColor="text1"/>
                <w:szCs w:val="21"/>
                <w:highlight w:val="none"/>
                <w14:textFill>
                  <w14:solidFill>
                    <w14:schemeClr w14:val="tx1"/>
                  </w14:solidFill>
                </w14:textFill>
              </w:rPr>
              <w:t>供应商须知前附表第25项</w:t>
            </w:r>
            <w:r>
              <w:rPr>
                <w:rFonts w:hint="eastAsia" w:ascii="宋体" w:hAnsi="宋体" w:eastAsia="宋体" w:cs="宋体"/>
                <w:color w:val="000000" w:themeColor="text1"/>
                <w:szCs w:val="21"/>
                <w:highlight w:val="none"/>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促进残疾人</w:t>
            </w:r>
          </w:p>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就业</w:t>
            </w:r>
          </w:p>
        </w:tc>
        <w:tc>
          <w:tcPr>
            <w:tcW w:w="6492" w:type="dxa"/>
            <w:gridSpan w:val="2"/>
            <w:vAlign w:val="center"/>
          </w:tcPr>
          <w:p>
            <w:pPr>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根据《关于促进残疾人就业政府采购政策的通知》（财库〔2017〕141号），残疾人福利性单位视同小型、微型企业，按照</w:t>
            </w:r>
            <w:r>
              <w:rPr>
                <w:rFonts w:hint="eastAsia" w:ascii="宋体" w:hAnsi="宋体" w:eastAsia="宋体" w:cs="宋体"/>
                <w:b/>
                <w:bCs/>
                <w:color w:val="000000" w:themeColor="text1"/>
                <w:szCs w:val="21"/>
                <w:highlight w:val="none"/>
                <w14:textFill>
                  <w14:solidFill>
                    <w14:schemeClr w14:val="tx1"/>
                  </w14:solidFill>
                </w14:textFill>
              </w:rPr>
              <w:t>供应商须知前附表第25项</w:t>
            </w:r>
            <w:r>
              <w:rPr>
                <w:rFonts w:hint="eastAsia" w:ascii="宋体" w:hAnsi="宋体" w:eastAsia="宋体" w:cs="宋体"/>
                <w:color w:val="000000" w:themeColor="text1"/>
                <w:szCs w:val="21"/>
                <w:highlight w:val="none"/>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829" w:type="dxa"/>
            <w:vMerge w:val="restart"/>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其他法律法规强制性规定或扶持政策</w:t>
            </w:r>
          </w:p>
        </w:tc>
        <w:tc>
          <w:tcPr>
            <w:tcW w:w="6492" w:type="dxa"/>
            <w:gridSpan w:val="2"/>
            <w:vAlign w:val="center"/>
          </w:tcPr>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本项目中强制采购节能产品的货物名称：</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采购包1：</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注：供应商所投上述产品必须具有节能产品认证证书，并提供依据国家确定的认证机构出具的、处于有效期之内的节能产品认证证书复印件，否则响应无效。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29"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492" w:type="dxa"/>
            <w:gridSpan w:val="2"/>
            <w:vAlign w:val="center"/>
          </w:tcPr>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本项目中采购信息安全认证或安全检测的货物名称：</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采购包1：</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依据《中华人民共和国网络安全法》、《关于调整网络安全专用产品安全管理有关事项的公告》（2023年第1号）、《关于调整〈网络关键设备和网络安全专用产品目录〉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供应商必须在响应文件中提供由具备资格的机构出具的安全认证合格证书或者安全检测合格证书（加盖供应商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29" w:type="dxa"/>
            <w:vMerge w:val="continue"/>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492" w:type="dxa"/>
            <w:gridSpan w:val="2"/>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其他法律法规强制性规定或扶持政策：</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采购包1：</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w:t>
            </w:r>
          </w:p>
        </w:tc>
        <w:tc>
          <w:tcPr>
            <w:tcW w:w="1829" w:type="dxa"/>
            <w:vAlign w:val="center"/>
          </w:tcPr>
          <w:p>
            <w:pPr>
              <w:shd w:val="clear"/>
              <w:tabs>
                <w:tab w:val="left" w:pos="1875"/>
              </w:tabs>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评审方法及分值</w:t>
            </w:r>
          </w:p>
        </w:tc>
        <w:tc>
          <w:tcPr>
            <w:tcW w:w="6492" w:type="dxa"/>
            <w:gridSpan w:val="2"/>
            <w:vAlign w:val="center"/>
          </w:tcPr>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Wingdings 2" w:char="F0A3"/>
            </w:r>
            <w:r>
              <w:rPr>
                <w:rFonts w:hint="eastAsia" w:ascii="宋体" w:hAnsi="宋体" w:eastAsia="宋体" w:cs="宋体"/>
                <w:color w:val="000000" w:themeColor="text1"/>
                <w:szCs w:val="21"/>
                <w:highlight w:val="none"/>
                <w14:textFill>
                  <w14:solidFill>
                    <w14:schemeClr w14:val="tx1"/>
                  </w14:solidFill>
                </w14:textFill>
              </w:rPr>
              <w:t>本项目采用最低评标价法，详见采购文件商务部分第三章。</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Wingdings 2" w:char="0052"/>
            </w:r>
            <w:r>
              <w:rPr>
                <w:rFonts w:hint="eastAsia" w:ascii="宋体" w:hAnsi="宋体" w:eastAsia="宋体" w:cs="宋体"/>
                <w:color w:val="000000" w:themeColor="text1"/>
                <w:szCs w:val="21"/>
                <w:highlight w:val="none"/>
                <w14:textFill>
                  <w14:solidFill>
                    <w14:schemeClr w14:val="tx1"/>
                  </w14:solidFill>
                </w14:textFill>
              </w:rPr>
              <w:t>本项目采用综合评分法，详见采购文件商务部分第三章。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492" w:type="dxa"/>
            <w:gridSpan w:val="2"/>
            <w:vAlign w:val="center"/>
          </w:tcPr>
          <w:p>
            <w:pPr>
              <w:shd w:val="clear"/>
              <w:adjustRightInd w:val="0"/>
              <w:snapToGrid w:val="0"/>
              <w:spacing w:before="0" w:beforeAutospacing="0" w:after="0" w:afterAutospacing="0" w:line="44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☑不要求提供</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□本采购项目履约保证金为合同金额的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，提交方式为支票、汇票、本票、保函等非现金形式，成交供应商在签订合同前应提交履约保证金，否则，不予签订合同。采用转账、电汇方式的，在签订合同前按规定的金额从银行账户直接缴入采购人账户。</w:t>
            </w:r>
          </w:p>
          <w:p>
            <w:pPr>
              <w:pStyle w:val="3"/>
              <w:shd w:val="clea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约定服务期（或质量保质期）满且完全履行了服务要求或产品质量保证义务的，采购人在收到提出申请的30日内无息返还履约保证金；采购人如逾期退还履约保证金，每逾期一天，可按应退款项的银行同期存款利息计算违约金；在合同期限和质量保证期内不能履行合同义务或违约的，履约保证金不予退还。</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收款单位：/</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p>
            <w:pPr>
              <w:shd w:val="clear"/>
              <w:topLinePunct/>
              <w:autoSpaceDE w:val="0"/>
              <w:autoSpaceDN w:val="0"/>
              <w:adjustRightInd w:val="0"/>
              <w:snapToGrid w:val="0"/>
              <w:spacing w:before="0" w:beforeAutospacing="0" w:after="0" w:afterAutospacing="0"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接收质疑的方式、部门、电话和通讯地址</w:t>
            </w:r>
          </w:p>
        </w:tc>
        <w:tc>
          <w:tcPr>
            <w:tcW w:w="6492" w:type="dxa"/>
            <w:gridSpan w:val="2"/>
            <w:vAlign w:val="center"/>
          </w:tcPr>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w:t>
            </w:r>
          </w:p>
          <w:p>
            <w:pPr>
              <w:shd w:val="clear"/>
              <w:spacing w:before="0" w:beforeAutospacing="0" w:after="0" w:afterAutospacing="0" w:line="440" w:lineRule="exact"/>
              <w:rPr>
                <w:rFonts w:hint="eastAsia" w:ascii="宋体" w:hAnsi="宋体" w:eastAsia="宋体" w:cs="宋体"/>
                <w:snapToGrid w:val="0"/>
                <w:color w:val="000000" w:themeColor="text1"/>
                <w:spacing w:val="9"/>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（1）接收质疑函的方式：</w:t>
            </w:r>
            <w:r>
              <w:rPr>
                <w:rFonts w:hint="eastAsia" w:ascii="宋体" w:hAnsi="宋体" w:eastAsia="宋体" w:cs="宋体"/>
                <w:snapToGrid w:val="0"/>
                <w:color w:val="000000" w:themeColor="text1"/>
                <w:spacing w:val="9"/>
                <w:szCs w:val="21"/>
                <w:highlight w:val="none"/>
                <w14:textFill>
                  <w14:solidFill>
                    <w14:schemeClr w14:val="tx1"/>
                  </w14:solidFill>
                </w14:textFill>
              </w:rPr>
              <w:t>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shd w:val="clear"/>
              <w:spacing w:before="0" w:beforeAutospacing="0" w:after="0" w:afterAutospacing="0" w:line="4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（2）联系部门：广西建设工程机电设备招标中心有限公司</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（3）联系电话： 0771-2807659</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（4）通讯地址：南宁市青秀区枫林路18号宏桂大厦裙楼3层</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（5）电子邮箱：zbzx2807659@163.com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需提交的响应文件份数</w:t>
            </w:r>
          </w:p>
        </w:tc>
        <w:tc>
          <w:tcPr>
            <w:tcW w:w="6492" w:type="dxa"/>
            <w:gridSpan w:val="2"/>
            <w:vAlign w:val="center"/>
          </w:tcPr>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需提交的响应文件份数：</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（1）正本</w:t>
            </w:r>
            <w:r>
              <w:rPr>
                <w:rFonts w:hint="eastAsia" w:ascii="宋体" w:hAnsi="宋体" w:eastAsia="宋体" w:cs="宋体"/>
                <w:color w:val="000000" w:themeColor="text1"/>
                <w:szCs w:val="21"/>
                <w:highlight w:val="none"/>
                <w:u w:val="singl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份、副本</w:t>
            </w:r>
            <w:r>
              <w:rPr>
                <w:rFonts w:hint="eastAsia" w:ascii="宋体" w:hAnsi="宋体" w:eastAsia="宋体" w:cs="宋体"/>
                <w:color w:val="000000" w:themeColor="text1"/>
                <w:szCs w:val="21"/>
                <w:highlight w:val="none"/>
                <w:u w:val="singl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份。</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（2）签字盖章的电子文件</w:t>
            </w:r>
            <w:r>
              <w:rPr>
                <w:rFonts w:hint="eastAsia" w:ascii="宋体" w:hAnsi="宋体" w:eastAsia="宋体" w:cs="宋体"/>
                <w:color w:val="000000" w:themeColor="text1"/>
                <w:szCs w:val="21"/>
                <w:highlight w:val="none"/>
                <w:u w:val="single"/>
                <w14:textFill>
                  <w14:solidFill>
                    <w14:schemeClr w14:val="tx1"/>
                  </w14:solidFill>
                </w14:textFill>
              </w:rPr>
              <w:t xml:space="preserve">  1  </w:t>
            </w:r>
            <w:r>
              <w:rPr>
                <w:rFonts w:hint="eastAsia" w:ascii="宋体" w:hAnsi="宋体" w:eastAsia="宋体" w:cs="宋体"/>
                <w:color w:val="000000" w:themeColor="text1"/>
                <w:szCs w:val="21"/>
                <w:highlight w:val="none"/>
                <w14:textFill>
                  <w14:solidFill>
                    <w14:schemeClr w14:val="tx1"/>
                  </w14:solidFill>
                </w14:textFill>
              </w:rPr>
              <w:t>份（PDF格式）。</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采用U盘提交。</w:t>
            </w:r>
          </w:p>
          <w:p>
            <w:pPr>
              <w:pStyle w:val="15"/>
              <w:shd w:val="clear"/>
              <w:spacing w:after="156"/>
              <w:ind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注：为了方便后期档案装订，供应商可以将响应文件分册装订，每册厚度不大于5厘米。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w:t>
            </w:r>
          </w:p>
        </w:tc>
        <w:tc>
          <w:tcPr>
            <w:tcW w:w="1829"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代理费用</w:t>
            </w:r>
          </w:p>
        </w:tc>
        <w:tc>
          <w:tcPr>
            <w:tcW w:w="6492" w:type="dxa"/>
            <w:gridSpan w:val="2"/>
            <w:vAlign w:val="center"/>
          </w:tcPr>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代理费用：</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（1）本项目代理费用由成交供应商支付。</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（2）代理费用收取方式及标准：</w:t>
            </w:r>
          </w:p>
          <w:p>
            <w:pPr>
              <w:shd w:val="clear"/>
              <w:spacing w:before="0" w:beforeAutospacing="0" w:after="0" w:afterAutospacing="0" w:line="44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本项目约定代理服务费为1.5万元。</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代理服务费汇到如下指定账户：</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收款人户名：广西建设工程机电设备招标中心有限公司</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开户银行：招商银行南宁分行营业部</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 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hd w:val="clear"/>
              <w:topLinePunct/>
              <w:autoSpaceDE w:val="0"/>
              <w:autoSpaceDN w:val="0"/>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p>
        </w:tc>
        <w:tc>
          <w:tcPr>
            <w:tcW w:w="1829" w:type="dxa"/>
            <w:vAlign w:val="center"/>
          </w:tcPr>
          <w:p>
            <w:pPr>
              <w:shd w:val="clear"/>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其他补充事项</w:t>
            </w:r>
          </w:p>
        </w:tc>
        <w:tc>
          <w:tcPr>
            <w:tcW w:w="6492" w:type="dxa"/>
            <w:gridSpan w:val="2"/>
            <w:vAlign w:val="center"/>
          </w:tcPr>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其他补充事项：</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采购文件中描述供应商的“公章”是指根据我国对公章的管理规定，用供应商法定主体行为名称制作的印章，除本采购文件有特殊规定外，供应商的财务章、部门章、分公司章、工会章、合同章、磋商专用章、业务专用章等其他形式印章均不能代替公章。</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2.本采购文件中描述供应商的“签字”是指供应商的法定代表人（负责人）或被授权人亲自在采购文件规定签署处亲笔写上个人的名字的行为，私章、签字章、印鉴、影印等其他形式均不能代替亲笔签字。</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3.享受中小企业扶持政策的，采购人、采购代理机构应当随成交结果公开的《中小企业声明函》。</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4.为残疾人福利性单位的，采购人或者其委托的采购代理机构应当随成交结果同时公告其《残疾人福利性单位声明函》，接受社会监督。</w:t>
            </w:r>
          </w:p>
        </w:tc>
      </w:tr>
    </w:tbl>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sectPr>
          <w:pgSz w:w="11906" w:h="16838"/>
          <w:pgMar w:top="1440" w:right="1752" w:bottom="1440" w:left="1752" w:header="851" w:footer="992" w:gutter="0"/>
          <w:cols w:space="720" w:num="1"/>
          <w:titlePg/>
          <w:docGrid w:type="lines" w:linePitch="312" w:charSpace="0"/>
        </w:sectPr>
      </w:pP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9" w:name="_Toc1897"/>
      <w:bookmarkStart w:id="10" w:name="_Toc22505"/>
      <w:r>
        <w:rPr>
          <w:rFonts w:hint="eastAsia" w:ascii="宋体" w:hAnsi="宋体" w:eastAsia="宋体" w:cs="宋体"/>
          <w:b/>
          <w:bCs/>
          <w:color w:val="000000" w:themeColor="text1"/>
          <w:sz w:val="24"/>
          <w:szCs w:val="24"/>
          <w:highlight w:val="none"/>
          <w14:textFill>
            <w14:solidFill>
              <w14:schemeClr w14:val="tx1"/>
            </w14:solidFill>
          </w14:textFill>
        </w:rPr>
        <w:t>一、总则</w:t>
      </w:r>
      <w:bookmarkEnd w:id="9"/>
      <w:bookmarkEnd w:id="10"/>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预算资金及来源</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本项目已经</w:t>
      </w:r>
      <w:r>
        <w:rPr>
          <w:rFonts w:hint="eastAsia" w:ascii="宋体" w:hAnsi="宋体" w:eastAsia="宋体" w:cs="宋体"/>
          <w:color w:val="000000" w:themeColor="text1"/>
          <w:spacing w:val="6"/>
          <w:highlight w:val="none"/>
          <w14:textFill>
            <w14:solidFill>
              <w14:schemeClr w14:val="tx1"/>
            </w14:solidFill>
          </w14:textFill>
        </w:rPr>
        <w:t>国家税务总局柳州市城中区税务局</w:t>
      </w:r>
      <w:r>
        <w:rPr>
          <w:rFonts w:hint="eastAsia" w:ascii="宋体" w:hAnsi="宋体" w:eastAsia="宋体" w:cs="宋体"/>
          <w:color w:val="000000" w:themeColor="text1"/>
          <w:szCs w:val="21"/>
          <w:highlight w:val="none"/>
          <w14:textFill>
            <w14:solidFill>
              <w14:schemeClr w14:val="tx1"/>
            </w14:solidFill>
          </w14:textFill>
        </w:rPr>
        <w:t>批准立项。</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 本项目预算资金见</w:t>
      </w:r>
      <w:r>
        <w:rPr>
          <w:rFonts w:hint="eastAsia" w:ascii="宋体" w:hAnsi="宋体" w:eastAsia="宋体" w:cs="宋体"/>
          <w:b/>
          <w:bCs/>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 合格的产品和服务（工程）</w:t>
      </w:r>
    </w:p>
    <w:p>
      <w:pPr>
        <w:widowControl/>
        <w:shd w:val="clear"/>
        <w:tabs>
          <w:tab w:val="left" w:pos="2160"/>
        </w:tabs>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本项目所涉及的所有产品和服务（工程）均应来自中国境内（指关境内），合同金额的支付也仅限于这些产品和服务（工程）。</w:t>
      </w:r>
    </w:p>
    <w:p>
      <w:pPr>
        <w:widowControl/>
        <w:shd w:val="clear"/>
        <w:tabs>
          <w:tab w:val="left" w:pos="2160"/>
        </w:tabs>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合格的产品和服务（工程），即</w:t>
      </w:r>
      <w:r>
        <w:rPr>
          <w:rFonts w:hint="eastAsia" w:ascii="宋体" w:hAnsi="宋体" w:eastAsia="宋体" w:cs="宋体"/>
          <w:b/>
          <w:bCs/>
          <w:color w:val="000000" w:themeColor="text1"/>
          <w:szCs w:val="21"/>
          <w:highlight w:val="none"/>
          <w14:textFill>
            <w14:solidFill>
              <w14:schemeClr w14:val="tx1"/>
            </w14:solidFill>
          </w14:textFill>
        </w:rPr>
        <w:t>采购需求</w:t>
      </w:r>
      <w:r>
        <w:rPr>
          <w:rFonts w:hint="eastAsia" w:ascii="宋体" w:hAnsi="宋体" w:eastAsia="宋体" w:cs="宋体"/>
          <w:color w:val="000000" w:themeColor="text1"/>
          <w:szCs w:val="21"/>
          <w:highlight w:val="none"/>
          <w14:textFill>
            <w14:solidFill>
              <w14:schemeClr w14:val="tx1"/>
            </w14:solidFill>
          </w14:textFill>
        </w:rPr>
        <w:t>见</w:t>
      </w:r>
      <w:r>
        <w:rPr>
          <w:rFonts w:hint="eastAsia" w:ascii="宋体" w:hAnsi="宋体" w:eastAsia="宋体" w:cs="宋体"/>
          <w:b/>
          <w:color w:val="000000" w:themeColor="text1"/>
          <w:szCs w:val="21"/>
          <w:highlight w:val="none"/>
          <w14:textFill>
            <w14:solidFill>
              <w14:schemeClr w14:val="tx1"/>
            </w14:solidFill>
          </w14:textFill>
        </w:rPr>
        <w:t>采购文件（技术部分）。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 供应商应保证所提供的产品及服务（工程）免受第三方提出侵犯其知识产权（专利权、商标权、工业设计权及使用权）的请求及起诉。</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 合格的供应商</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 一般规定</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3.1.1 供应商应遵守《</w:t>
      </w:r>
      <w:r>
        <w:rPr>
          <w:rFonts w:hint="eastAsia" w:ascii="宋体" w:hAnsi="宋体" w:eastAsia="宋体" w:cs="宋体"/>
          <w:color w:val="000000" w:themeColor="text1"/>
          <w:szCs w:val="21"/>
          <w:highlight w:val="none"/>
          <w14:textFill>
            <w14:solidFill>
              <w14:schemeClr w14:val="tx1"/>
            </w14:solidFill>
          </w14:textFill>
        </w:rPr>
        <w:t>中华人民共和国政府采购法</w:t>
      </w:r>
      <w:r>
        <w:rPr>
          <w:rFonts w:hint="eastAsia" w:ascii="宋体" w:hAnsi="宋体" w:eastAsia="宋体" w:cs="宋体"/>
          <w:color w:val="000000" w:themeColor="text1"/>
          <w:highlight w:val="none"/>
          <w14:textFill>
            <w14:solidFill>
              <w14:schemeClr w14:val="tx1"/>
            </w14:solidFill>
          </w14:textFill>
        </w:rPr>
        <w:t>》及其实施条例、《政府采购竞争性磋商采购方式管理暂行办法》、《政府采购质疑和投诉办法》及有关政府采购的规定，同时还应遵守有关法律、法规和规章的强制性规定。</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3.1.2 供应商的资格要求及本项目的特定资格要求见</w:t>
      </w:r>
      <w:r>
        <w:rPr>
          <w:rFonts w:hint="eastAsia" w:ascii="宋体" w:hAnsi="宋体" w:eastAsia="宋体" w:cs="宋体"/>
          <w:b/>
          <w:bCs/>
          <w:color w:val="000000" w:themeColor="text1"/>
          <w:highlight w:val="none"/>
          <w14:textFill>
            <w14:solidFill>
              <w14:schemeClr w14:val="tx1"/>
            </w14:solidFill>
          </w14:textFill>
        </w:rPr>
        <w:t>供应商须知前附</w:t>
      </w:r>
      <w:r>
        <w:rPr>
          <w:rFonts w:hint="eastAsia" w:ascii="宋体" w:hAnsi="宋体" w:eastAsia="宋体" w:cs="宋体"/>
          <w:color w:val="000000" w:themeColor="text1"/>
          <w:highlight w:val="none"/>
          <w14:textFill>
            <w14:solidFill>
              <w14:schemeClr w14:val="tx1"/>
            </w14:solidFill>
          </w14:textFill>
        </w:rPr>
        <w:t>表。</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3.1.3 资格条件中所称“重大违法记录”，是指供应商因违法经营受到刑事处罚或者责令停产停业、吊销许可证或者执照、较大数额罚款等行政处罚。</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供应商在参加采购活动前3年内因违法经营被禁止在一定期限内参加采购活动，期限届满的，可以参加采购活动。</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“较大数额罚款”认定为200万元以上的罚款，法律、行政法规以及国务院有关部门明确规定相关领域“较大数额罚款”标准高于200万元的，从其规定。</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3.1.4 信用记录要求</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磋商小组将通过“信用中国”网站（www.creditchina.gov.cn）、中国政府采购网（www.ccgp.gov.cn）等渠道查询供应商的信用记录，并对供应商信用记录进行甄别，对列入失信被执行人、</w:t>
      </w:r>
      <w:r>
        <w:rPr>
          <w:rFonts w:hint="eastAsia" w:ascii="宋体" w:hAnsi="宋体" w:eastAsia="宋体" w:cs="宋体"/>
          <w:color w:val="000000" w:themeColor="text1"/>
          <w:szCs w:val="21"/>
          <w:highlight w:val="none"/>
          <w14:textFill>
            <w14:solidFill>
              <w14:schemeClr w14:val="tx1"/>
            </w14:solidFill>
          </w14:textFill>
        </w:rPr>
        <w:t>重大税收违法失信主体</w:t>
      </w:r>
      <w:r>
        <w:rPr>
          <w:rFonts w:hint="eastAsia" w:ascii="宋体" w:hAnsi="宋体" w:eastAsia="宋体" w:cs="宋体"/>
          <w:color w:val="000000" w:themeColor="text1"/>
          <w:highlight w:val="none"/>
          <w14:textFill>
            <w14:solidFill>
              <w14:schemeClr w14:val="tx1"/>
            </w14:solidFill>
          </w14:textFill>
        </w:rPr>
        <w:t>、政府采购严重违法失信行为记录名单及其他不符合《中华人民共和国政府采购法》第二十二条规定条件的供应商，应当拒绝其参与政府采购活动。</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 联合体</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3.2.1 若本项目接受联合体，则两个以上的自然人、法人或者其他组织可以组成一个联合体，以一个供应商的身份共同参加采购。</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3.2.2 以联合体形式参加磋商的，联合体各方应按第二章要求提供资格条件材料。</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3.2.3 联合体中有同类资质的供应商按照联合体分工承担相同工作的，应当按照资质等级较低的供应商确定资质等级。</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3.2.4 联合体应当提交联合协议，载明联合体各方承担的工作和义务。</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3.2.5 联合体各方应当共同与采购人签订采购合同，就采购合同约定的事项对采购人承担连带责任。</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3.2.6 以联合体形式参加采购活动的，联合体各方不得再单独参加或者与其他供应商另外组成联合体参加同一合同项下的采购活动。</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 禁止规定</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3.3.1 单位负责人为同一人或者存在直接控股、管理关系的不同供应商，不得参加同一采购包的采购活动。否则响应均无效。</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3.3.2 除单一来源采购项目外，为采购项目提供整体设计、规范编制或者项目管理、监理、检测等服务的供应商，不得再参加该采购项目的其他采购活动。否则响应无效。</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 磋商响应费用</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 供应商应承担所有与编写、提交响应文件有关的费用，不论磋商的结果如何，采购人在任何情况下均无义务和责任承担这些费用。</w:t>
      </w: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1" w:name="_Toc18664"/>
      <w:bookmarkStart w:id="12" w:name="_Toc10103"/>
      <w:r>
        <w:rPr>
          <w:rFonts w:hint="eastAsia" w:ascii="宋体" w:hAnsi="宋体" w:eastAsia="宋体" w:cs="宋体"/>
          <w:b/>
          <w:bCs/>
          <w:color w:val="000000" w:themeColor="text1"/>
          <w:sz w:val="24"/>
          <w:szCs w:val="24"/>
          <w:highlight w:val="none"/>
          <w14:textFill>
            <w14:solidFill>
              <w14:schemeClr w14:val="tx1"/>
            </w14:solidFill>
          </w14:textFill>
        </w:rPr>
        <w:t>二、采购文件</w:t>
      </w:r>
      <w:bookmarkEnd w:id="11"/>
      <w:bookmarkEnd w:id="12"/>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 采购文件构成</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第一部分 商务部分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（1）磋商邀请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（3）评审方法及标准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（4）采购合同文本</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（5）响应文件格式</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第二部分 技术部分</w:t>
      </w:r>
    </w:p>
    <w:p>
      <w:pPr>
        <w:widowControl/>
        <w:shd w:val="clear"/>
        <w:topLinePunct/>
        <w:adjustRightInd w:val="0"/>
        <w:snapToGrid w:val="0"/>
        <w:spacing w:before="60" w:beforeAutospacing="0" w:after="60" w:afterAutospacing="0" w:line="440" w:lineRule="exact"/>
        <w:ind w:firstLine="411"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（6）项目采购需求</w:t>
      </w:r>
    </w:p>
    <w:p>
      <w:pPr>
        <w:widowControl/>
        <w:shd w:val="clear"/>
        <w:topLinePunct/>
        <w:adjustRightInd w:val="0"/>
        <w:snapToGrid w:val="0"/>
        <w:spacing w:before="60" w:beforeAutospacing="0" w:after="60" w:afterAutospacing="0" w:line="440" w:lineRule="exact"/>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 采购文件询问、澄清或修改</w:t>
      </w:r>
    </w:p>
    <w:p>
      <w:pPr>
        <w:widowControl/>
        <w:shd w:val="clear"/>
        <w:topLinePunct/>
        <w:adjustRightInd w:val="0"/>
        <w:snapToGrid w:val="0"/>
        <w:spacing w:before="60" w:beforeAutospacing="0" w:after="60" w:afterAutospacing="0" w:line="440" w:lineRule="exact"/>
        <w:ind w:firstLine="420"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 供应商对采购文件如有疑问的，可以向采购人或者采购代理机构提出询问，采购人或者采购代理机构应当在3个工作日内作出答复</w:t>
      </w:r>
      <w:r>
        <w:rPr>
          <w:rFonts w:hint="eastAsia" w:ascii="宋体" w:hAnsi="宋体" w:eastAsia="宋体" w:cs="宋体"/>
          <w:bCs/>
          <w:color w:val="000000" w:themeColor="text1"/>
          <w:szCs w:val="21"/>
          <w:highlight w:val="none"/>
          <w14:textFill>
            <w14:solidFill>
              <w14:schemeClr w14:val="tx1"/>
            </w14:solidFill>
          </w14:textFill>
        </w:rPr>
        <w:t>，但答复的内容不得涉及商业秘密。</w:t>
      </w:r>
      <w:r>
        <w:rPr>
          <w:rFonts w:hint="eastAsia" w:ascii="宋体" w:hAnsi="宋体" w:eastAsia="宋体" w:cs="宋体"/>
          <w:color w:val="000000" w:themeColor="text1"/>
          <w:szCs w:val="21"/>
          <w:highlight w:val="none"/>
          <w14:textFill>
            <w14:solidFill>
              <w14:schemeClr w14:val="tx1"/>
            </w14:solidFill>
          </w14:textFill>
        </w:rPr>
        <w:t>如有必要，采购人或者采购代理机构可对采购文件进行澄清或者修改。</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 提交首次响应文件截止之日前，采购人、采购代理机构或者磋商小组可以对已发出的磋商文件进行必要的澄清或者修改。</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6.3 澄清或者修改将在原公告发布媒体上发布更正公告，并以书面形式通知所有获取磋商文件的供应商。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6.4 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6.5 澄清或者修改的内容作为磋商文件的组成部分。</w:t>
      </w: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3" w:name="_Toc20600"/>
      <w:bookmarkStart w:id="14" w:name="_Toc11282"/>
      <w:r>
        <w:rPr>
          <w:rFonts w:hint="eastAsia" w:ascii="宋体" w:hAnsi="宋体" w:eastAsia="宋体" w:cs="宋体"/>
          <w:b/>
          <w:bCs/>
          <w:color w:val="000000" w:themeColor="text1"/>
          <w:sz w:val="24"/>
          <w:szCs w:val="24"/>
          <w:highlight w:val="none"/>
          <w14:textFill>
            <w14:solidFill>
              <w14:schemeClr w14:val="tx1"/>
            </w14:solidFill>
          </w14:textFill>
        </w:rPr>
        <w:t>三、响应文件</w:t>
      </w:r>
      <w:bookmarkEnd w:id="13"/>
      <w:bookmarkEnd w:id="14"/>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响应文件编制</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 响应文件的编制</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7.1.1 供应商应先仔细阅读采购文件的全部内容后，再进行响应文件的编制。</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7.1.2 响应文件应满足采购文件提出的实质性要求和条件，并保证其所提交的全部资料是不可割离且真实、有效、准确、完整和不具有任何误导性的，否则造成的不利后果由供应商承担责任。</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 响应文件的语言</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7.2.1 除采购文件另有规定外，响应文件应使用中文文本并使用中文简化字，若有不同文本，以中文简化字文本为准。</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7.2.2 响应文件提供的全部资料中，若属于非中文描述的，应同时提供中文简化字译本。</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7.2.3 除在采购文件的要求中另有规定外，响应文件计量单位应使用中华人民共和国法定计量单位。</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8.响应文件的组成</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 响应文件包括商务部分和技术部分。</w:t>
      </w:r>
    </w:p>
    <w:p>
      <w:pPr>
        <w:widowControl/>
        <w:shd w:val="clear"/>
        <w:topLinePunct/>
        <w:adjustRightInd w:val="0"/>
        <w:snapToGrid w:val="0"/>
        <w:spacing w:before="60" w:beforeAutospacing="0" w:after="60" w:afterAutospacing="0" w:line="440" w:lineRule="exact"/>
        <w:ind w:firstLine="428" w:firstLineChars="20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8.2 响应文件</w:t>
      </w:r>
      <w:r>
        <w:rPr>
          <w:rFonts w:hint="eastAsia" w:ascii="宋体" w:hAnsi="宋体" w:eastAsia="宋体" w:cs="宋体"/>
          <w:b/>
          <w:bCs/>
          <w:color w:val="000000" w:themeColor="text1"/>
          <w:szCs w:val="21"/>
          <w:highlight w:val="none"/>
          <w14:textFill>
            <w14:solidFill>
              <w14:schemeClr w14:val="tx1"/>
            </w14:solidFill>
          </w14:textFill>
        </w:rPr>
        <w:t>商务部分</w:t>
      </w:r>
      <w:r>
        <w:rPr>
          <w:rFonts w:hint="eastAsia" w:ascii="宋体" w:hAnsi="宋体" w:eastAsia="宋体" w:cs="宋体"/>
          <w:color w:val="000000" w:themeColor="text1"/>
          <w:szCs w:val="21"/>
          <w:highlight w:val="none"/>
          <w14:textFill>
            <w14:solidFill>
              <w14:schemeClr w14:val="tx1"/>
            </w14:solidFill>
          </w14:textFill>
        </w:rPr>
        <w:t>主要包括的文件和资料：</w:t>
      </w:r>
    </w:p>
    <w:p>
      <w:pPr>
        <w:widowControl/>
        <w:shd w:val="clear"/>
        <w:topLinePunct/>
        <w:adjustRightInd w:val="0"/>
        <w:snapToGrid w:val="0"/>
        <w:spacing w:before="60" w:beforeAutospacing="0" w:after="60" w:afterAutospacing="0" w:line="440" w:lineRule="exact"/>
        <w:ind w:firstLine="428" w:firstLineChars="20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8.2.1 资格证明文件，见</w:t>
      </w:r>
      <w:r>
        <w:rPr>
          <w:rFonts w:hint="eastAsia" w:ascii="宋体" w:hAnsi="宋体" w:eastAsia="宋体" w:cs="宋体"/>
          <w:b/>
          <w:color w:val="000000" w:themeColor="text1"/>
          <w:szCs w:val="21"/>
          <w:highlight w:val="none"/>
          <w14:textFill>
            <w14:solidFill>
              <w14:schemeClr w14:val="tx1"/>
            </w14:solidFill>
          </w14:textFill>
        </w:rPr>
        <w:t>供应商须知前附表。</w:t>
      </w:r>
    </w:p>
    <w:p>
      <w:pPr>
        <w:widowControl/>
        <w:shd w:val="clear"/>
        <w:topLinePunct/>
        <w:adjustRightInd w:val="0"/>
        <w:snapToGrid w:val="0"/>
        <w:spacing w:before="60" w:beforeAutospacing="0" w:after="60" w:afterAutospacing="0" w:line="440" w:lineRule="exact"/>
        <w:ind w:firstLine="426" w:firstLineChars="20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8.2.2 其他文件及资料，见</w:t>
      </w:r>
      <w:r>
        <w:rPr>
          <w:rFonts w:hint="eastAsia" w:ascii="宋体" w:hAnsi="宋体" w:eastAsia="宋体" w:cs="宋体"/>
          <w:b/>
          <w:color w:val="000000" w:themeColor="text1"/>
          <w:szCs w:val="21"/>
          <w:highlight w:val="none"/>
          <w14:textFill>
            <w14:solidFill>
              <w14:schemeClr w14:val="tx1"/>
            </w14:solidFill>
          </w14:textFill>
        </w:rPr>
        <w:t>供应商须知前附表。</w:t>
      </w:r>
    </w:p>
    <w:p>
      <w:pPr>
        <w:widowControl/>
        <w:shd w:val="clear"/>
        <w:topLinePunct/>
        <w:adjustRightInd w:val="0"/>
        <w:snapToGrid w:val="0"/>
        <w:spacing w:before="60" w:beforeAutospacing="0" w:after="60" w:afterAutospacing="0" w:line="440" w:lineRule="exact"/>
        <w:ind w:firstLine="426" w:firstLineChars="20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8.3 响应文件</w:t>
      </w:r>
      <w:r>
        <w:rPr>
          <w:rFonts w:hint="eastAsia" w:ascii="宋体" w:hAnsi="宋体" w:eastAsia="宋体" w:cs="宋体"/>
          <w:b/>
          <w:bCs/>
          <w:color w:val="000000" w:themeColor="text1"/>
          <w:szCs w:val="21"/>
          <w:highlight w:val="none"/>
          <w14:textFill>
            <w14:solidFill>
              <w14:schemeClr w14:val="tx1"/>
            </w14:solidFill>
          </w14:textFill>
        </w:rPr>
        <w:t>技术部分</w:t>
      </w:r>
      <w:r>
        <w:rPr>
          <w:rFonts w:hint="eastAsia" w:ascii="宋体" w:hAnsi="宋体" w:eastAsia="宋体" w:cs="宋体"/>
          <w:color w:val="000000" w:themeColor="text1"/>
          <w:szCs w:val="21"/>
          <w:highlight w:val="none"/>
          <w14:textFill>
            <w14:solidFill>
              <w14:schemeClr w14:val="tx1"/>
            </w14:solidFill>
          </w14:textFill>
        </w:rPr>
        <w:t>主要包括的文件及资料，见</w:t>
      </w:r>
      <w:r>
        <w:rPr>
          <w:rFonts w:hint="eastAsia" w:ascii="宋体" w:hAnsi="宋体" w:eastAsia="宋体" w:cs="宋体"/>
          <w:b/>
          <w:color w:val="000000" w:themeColor="text1"/>
          <w:szCs w:val="21"/>
          <w:highlight w:val="none"/>
          <w14:textFill>
            <w14:solidFill>
              <w14:schemeClr w14:val="tx1"/>
            </w14:solidFill>
          </w14:textFill>
        </w:rPr>
        <w:t>供应商须知前附表。</w:t>
      </w:r>
    </w:p>
    <w:p>
      <w:pPr>
        <w:widowControl/>
        <w:shd w:val="clear"/>
        <w:topLinePunct/>
        <w:adjustRightInd w:val="0"/>
        <w:snapToGrid w:val="0"/>
        <w:spacing w:before="60" w:beforeAutospacing="0" w:after="60" w:afterAutospacing="0" w:line="440" w:lineRule="exact"/>
        <w:ind w:firstLine="426" w:firstLineChars="20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8.4 证明资料如标明有效期的，必须在有效期内。</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9.报价要求</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9.1 除采购文件另有规定外，应以人民币报价。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9.2 本项目不接受任何形式的赠送、“零”报价和折扣报价。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9.3 本项目以磋商总报价为依据计算价格分。磋商总报价应包括采购文件中要求供应商承担所有工作内容的全部费用。</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9.4 磋商小组认为供应商的报价明显低于其他通过符合性审查供应商的报价，有可能影响产品质量或者不能诚信履约的，应当要求其在</w:t>
      </w:r>
      <w:r>
        <w:rPr>
          <w:rFonts w:hint="eastAsia" w:ascii="宋体" w:hAnsi="宋体" w:cs="宋体"/>
          <w:color w:val="000000" w:themeColor="text1"/>
          <w:szCs w:val="21"/>
          <w:highlight w:val="none"/>
          <w:lang w:eastAsia="zh-CN"/>
          <w14:textFill>
            <w14:solidFill>
              <w14:schemeClr w14:val="tx1"/>
            </w14:solidFill>
          </w14:textFill>
        </w:rPr>
        <w:t>评审</w:t>
      </w:r>
      <w:r>
        <w:rPr>
          <w:rFonts w:hint="eastAsia" w:ascii="宋体" w:hAnsi="宋体" w:eastAsia="宋体" w:cs="宋体"/>
          <w:color w:val="000000" w:themeColor="text1"/>
          <w:szCs w:val="21"/>
          <w:highlight w:val="none"/>
          <w14:textFill>
            <w14:solidFill>
              <w14:schemeClr w14:val="tx1"/>
            </w14:solidFill>
          </w14:textFill>
        </w:rPr>
        <w:t>现场合理的时间内提供书面说明，必要时提交相关证明材料；供应商不能证明其报价合理性的，磋商小组应当将其作为无效响应处理。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9.5 最低报价不能作为成交的保证。</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9.6 供应商的报价不得超过采购项目预算。</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10.响应文件的书写、密封、签署、盖章</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 书写</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10.1.1 响应文件应使用不能擦去的墨料或墨水打印、书写。</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10.1.2 响应文件内容应没有涂改或行间插字。若有前述改动，在改动处应由单位负责人（授权代表）签字确认或加盖供应商的单位公章。</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 密封</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10.2.1 响应文件应胶装或装订成册，避免材料散装、脱落。</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10.2.2 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 签署、盖章</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10.3.1 响应文件中要求签字处应由供应商的单位负责人（授权代表）签字。</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10.3.2 响应文件必须按照采购文件给出文件格式的签署要求进行签署。</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10.3.3 供应商在</w:t>
      </w:r>
      <w:r>
        <w:rPr>
          <w:rFonts w:hint="eastAsia" w:ascii="宋体" w:hAnsi="宋体" w:eastAsia="宋体" w:cs="宋体"/>
          <w:b/>
          <w:bCs/>
          <w:color w:val="000000" w:themeColor="text1"/>
          <w:szCs w:val="21"/>
          <w:highlight w:val="none"/>
          <w14:textFill>
            <w14:solidFill>
              <w14:schemeClr w14:val="tx1"/>
            </w14:solidFill>
          </w14:textFill>
        </w:rPr>
        <w:t>“磋商响应函”“法定代表人授权委托书”</w:t>
      </w:r>
      <w:r>
        <w:rPr>
          <w:rFonts w:hint="eastAsia" w:ascii="宋体" w:hAnsi="宋体" w:eastAsia="宋体" w:cs="宋体"/>
          <w:color w:val="000000" w:themeColor="text1"/>
          <w:szCs w:val="21"/>
          <w:highlight w:val="none"/>
          <w14:textFill>
            <w14:solidFill>
              <w14:schemeClr w14:val="tx1"/>
            </w14:solidFill>
          </w14:textFill>
        </w:rPr>
        <w:t>上应当按格式要求加盖与供应商名称全称一致的标准公章，并按照采购文件第五章响应文件格式中的相应格式文件要求签署全名或加盖名章。</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10.3.4 响应文件中的“盖章”指加盖供应商的“公章”，而非“合同专用章”、“投标专用章”等其他非公章。</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响应有效期</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11.1 响应有效期见</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在此期间，响应文件对供应商具有法律约束力，以保证采购人或者采购代理机构有足够的时间完成磋商、评审、定标以及签订合同。响应文件中承诺的响应有效期应当不少于采购文件中载明的响应有效期，否则作为无效响应处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 特殊情况下，在原响应有效期期满之前，采购人或者采购代理机构可征得供应商同意延长响应有效期。</w:t>
      </w: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5" w:name="_Toc8466"/>
      <w:bookmarkStart w:id="16" w:name="_Toc25318"/>
      <w:r>
        <w:rPr>
          <w:rFonts w:hint="eastAsia" w:ascii="宋体" w:hAnsi="宋体" w:eastAsia="宋体" w:cs="宋体"/>
          <w:b/>
          <w:bCs/>
          <w:color w:val="000000" w:themeColor="text1"/>
          <w:sz w:val="24"/>
          <w:szCs w:val="24"/>
          <w:highlight w:val="none"/>
          <w14:textFill>
            <w14:solidFill>
              <w14:schemeClr w14:val="tx1"/>
            </w14:solidFill>
          </w14:textFill>
        </w:rPr>
        <w:t>四、响应文件递交</w:t>
      </w:r>
      <w:bookmarkEnd w:id="15"/>
      <w:bookmarkEnd w:id="16"/>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响应文件递交</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供应商应当在</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要求提交响应文件截止时间前，根据《供应商须知前附表》载明方式提交响应文件。逾期送达或者未按照采购文件要求密封的响应文件将被拒绝。</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响应文件补充、修改或撤回</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供应商在提交响应文件截止时间前，可以对所提交的响应文件进行补充、修改或者撤回，并书面通知采购人、采购代理机构。补充、修改的内容应当按照采购文件要求签署、盖章、密封后，作为响应文件的组成部分。</w:t>
      </w:r>
    </w:p>
    <w:p>
      <w:pPr>
        <w:widowControl/>
        <w:shd w:val="clear"/>
        <w:topLinePunct/>
        <w:adjustRightInd w:val="0"/>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提交响应文件截止时间后，不得对已提交的响应文件做任何补充、修改或者撤回。</w:t>
      </w: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7" w:name="_Toc17913"/>
      <w:bookmarkStart w:id="18" w:name="_Toc26188"/>
      <w:r>
        <w:rPr>
          <w:rFonts w:hint="eastAsia" w:ascii="宋体" w:hAnsi="宋体" w:eastAsia="宋体" w:cs="宋体"/>
          <w:b/>
          <w:bCs/>
          <w:color w:val="000000" w:themeColor="text1"/>
          <w:sz w:val="24"/>
          <w:szCs w:val="24"/>
          <w:highlight w:val="none"/>
          <w14:textFill>
            <w14:solidFill>
              <w14:schemeClr w14:val="tx1"/>
            </w14:solidFill>
          </w14:textFill>
        </w:rPr>
        <w:t>五、磋商与评审</w:t>
      </w:r>
      <w:bookmarkEnd w:id="17"/>
      <w:bookmarkEnd w:id="18"/>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14.磋商小组</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14.1 磋商与评审由依法组建的磋商小组负责，磋商小组由采购人代表和评审专家组成。</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14.2 评审专家应当遵守评审工作纪律，不得泄露评审情况和评审中获悉的商业秘密。</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14.3 磋商小组成员应当按照客观、公正、审慎的原则，根据磋商文件规定的评审程序、评审方法和评审标准进行独立评审。</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15.初步审查</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（1）供应商未按照磋商文件规定提交磋商保证金的；</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（2）未按照磋商文件规定要求密封、签署、盖章的；</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（3）响应有效期不足的；</w:t>
      </w:r>
    </w:p>
    <w:p>
      <w:pPr>
        <w:keepNext w:val="0"/>
        <w:keepLines w:val="0"/>
        <w:pageBreakBefore w:val="0"/>
        <w:widowControl/>
        <w:shd w:val="clear"/>
        <w:kinsoku/>
        <w:wordWrap w:val="0"/>
        <w:overflowPunct/>
        <w:topLinePunct/>
        <w:autoSpaceDE w:val="0"/>
        <w:autoSpaceDN w:val="0"/>
        <w:bidi w:val="0"/>
        <w:adjustRightInd/>
        <w:snapToGrid w:val="0"/>
        <w:spacing w:before="60" w:beforeAutospacing="0" w:after="60" w:afterAutospacing="0" w:line="44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供应商不满足磋商文件供应商资格条件或未按照磋商文件规定提供资格证明材料的；</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（5）响应文件不满足磋商文件实质性条款的。响应文件是否实质性响应磋商文件，由磋商小组依据磋商文件规定、供应商响应文件及磋商情况认定；</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（6）供应商存在失信记录的：</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失信记录是指，通过“信用中国”网站（www.creditchina.gov.cn)、中国政府采购网（www.ccgp.gov.cn）查询相关主体信用记录，列入失信被执行人、</w:t>
      </w:r>
      <w:r>
        <w:rPr>
          <w:rFonts w:hint="eastAsia" w:ascii="宋体" w:hAnsi="宋体" w:eastAsia="宋体" w:cs="宋体"/>
          <w:color w:val="000000" w:themeColor="text1"/>
          <w:szCs w:val="21"/>
          <w:highlight w:val="none"/>
          <w14:textFill>
            <w14:solidFill>
              <w14:schemeClr w14:val="tx1"/>
            </w14:solidFill>
          </w14:textFill>
        </w:rPr>
        <w:t>重大税收违法失信主体</w:t>
      </w:r>
      <w:r>
        <w:rPr>
          <w:rFonts w:hint="eastAsia" w:ascii="宋体" w:hAnsi="宋体" w:eastAsia="宋体" w:cs="宋体"/>
          <w:color w:val="000000" w:themeColor="text1"/>
          <w:highlight w:val="none"/>
          <w14:textFill>
            <w14:solidFill>
              <w14:schemeClr w14:val="tx1"/>
            </w14:solidFill>
          </w14:textFill>
        </w:rPr>
        <w:t>、政府采购严重违法失信行为记录名单及其他不符合《中华人民共和国政府采购法》第二十二条规定条件的情况。失信情况查询详见供应商须知前附表；</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（7）其他不符合法律、规章、规范性文件和磋商文件规定的。</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16.澄清</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16.2 供应商的澄清、说明或者更正应当采用书面形式，由其法定代表人或其授权代表签字，供应商的澄清、说明或者更正不得超出磋商文件的范围或者改变响应文件的实质性内容。</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16.3 关于响应描述（即响应文件中描述的内容）</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（1）响应描述前后不一致且不涉及证明材料的：按照本节第16.1条、16.2条规定执行。</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（2）响应描述与证明材料不一致或多份证明材料之间不一致的：</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①磋商小组将要求供应商进行书面澄清，无法澄清的将按照不利于供应商的内容进行评审。</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响应描述存在前后不一致、与证明材料不一致或多份证明材料之间不一致情形之一但在磋商中未能发现，则采购人将以响应描述或证明材料中有利于采购人的内容进行验收，应自行承担由此产生的风险及费用。</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16.4 除磋商小组要求供应商做出的澄清、说明或者补正以外，磋商小组不接受供应商的任何询问、说明、更改及文件。</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16.5 供应商的澄清必须在规定的时间内提交。</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17.磋商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 初审结束后，磋商小组所有成员集中与单一供应商分别进行磋商，并给予所有参加磋商的供应商平等的磋商机会。供应商应派其法定代表人或授权代表参加磋商。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磋商过程中，磋商小组可以根据磋商文件和磋商情况实质性变动采购需求中的技术、服务要求以及合同草案条款，但不得变动磋商文件中的其他内容。实质性变动的内容，须经采购人代表确认。</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17.3 对磋商文件作出的实质性变动是磋商文件的有效组成部分，磋商小组应当及时以书面形式同时通知所有参加磋商的供应商。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17.4 供应商应当按照磋商文件的变动情况和磋商小组的要求重新提交响应文件，并由其法定代表人或授权代表签字。由授权代表签字的，应当附法定代表人授权书。供应商为自然人的，应当由本人签字并附身份证明。</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17.6 磋商小组应当根据实际情况与供应商进行磋商，并确定磋商的轮次。</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17.7 已提交响应文件的供应商，在提交最后报价之前，可以根据磋商情况退出磋商。采购人或采购代理机构应当退还退出磋商的供应商的磋商保证金。</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17.8 磋商结束后，供应商按照磋商小组要求重新提交的响应文件，不满足磋商文件及变动后的技术、服务要求以及合同草案条款的实质性要求的，将视为无效响应文件。</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18.最后报价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 磋商结束后，磋商小组应当要求所有实质性响应的供应商在规定时间内提交最后报价，提交最后报价的供应商不得少于3家。（符合</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规定的允许符合要求的供应商只有2家时可以继续进行采购活动的情形，提交最后报价的供应商可以为2家）。</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最后报价是供应商响应文件的有效组成部分。如磋商小组没有对磋商文件作实质性变动或增加新的需求，最后报价不得高于首轮报价。</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19.最后报价评审</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最后报价计算错误修正的原则</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（1）最后报价的大写金额和小写金额不一致的，以大写金额为准。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（2）总价金额与按分项报价汇总金额不一致的，以分项报价金额计算结果为准。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（3）分项报价金额小数点有明显错位的，应以总价为准，并修改分项报价。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（4）同时出现两种以上不一致的，按照前款规定的顺序修正。</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（5）如果供应商不接受对其错误的更正，其最后报价将被视为无效报价或确定为无效响应。</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最后报价的价格扣除原则</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落实政府采购政策进行价格调整的规则详见第三章第2.3条。</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19.3 磋商报价得分：以供应商的最后报价作为价格评分依据。供应商的评审价为按上述条款修正并给予价格扣除优惠后的价格。</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价格评分统一采用低价优先法计算，即满足磋商文件要求且价格最低的评审价为评审基准价，其价格分为满分。其他供应商的价格分统一按照下列公式计算：</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磋商报价得分=（磋商基准价/最后磋商报价）×价格满分值</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20.综合评审</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经磋商确定最终采购需求和提交最后报价的供应商后，由磋商小组采用综合评分法对提交最后报价的供应商的响应文件和最后报价进行综合评分。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评审办法及标准见第三章。</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评审时，磋商小组成员应当独立对每个有效响应的文件进行评价、打分，然后汇总每个供应商每项评分因素的得分。</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21.提出</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 磋商小组应当按照综合评分由高到低的顺序提出3名以上成交候选供应商，并编写评审报告。（符合</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规定的允许符合要求的供应商只有2家时可以继续进行采购活动的情形，推荐的成交候选供应商可以为2家）</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21.2 </w:t>
      </w:r>
      <w:r>
        <w:rPr>
          <w:rFonts w:hint="eastAsia" w:ascii="宋体" w:hAnsi="宋体" w:eastAsia="宋体" w:cs="宋体"/>
          <w:color w:val="000000" w:themeColor="text1"/>
          <w:szCs w:val="21"/>
          <w:highlight w:val="none"/>
          <w:u w:val="single"/>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eastAsia="宋体" w:cs="宋体"/>
          <w:color w:val="000000" w:themeColor="text1"/>
          <w:szCs w:val="21"/>
          <w:highlight w:val="none"/>
          <w14:textFill>
            <w14:solidFill>
              <w14:schemeClr w14:val="tx1"/>
            </w14:solidFill>
          </w14:textFill>
        </w:rPr>
        <w:t>。</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22.磋商终止</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 出现下列情形之一的，采购人或者采购代理机构应当终止磋商采购活动，在财政部指定的媒体上发布项目终止公告并说明原因，重新开展采购活动：</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（1）因情况变化，不再符合规定的磋商采购方式适用情形的；</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（3）在采购过程中符合竞争要求的供应商或者报价未超过采购预算的供应商不足3家的，或者提交最后报价的供应商少于3家的；（符合</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 xml:space="preserve">规定的允许符合要求的供应商只有2家时可以继续进行采购活动的情形，符合竞争要求的供应商或者报价未超过采购预算的供应商或者提交最后报价的供应商不足2家的；） </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（4）因重大变故，采购任务取消的。</w:t>
      </w: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9" w:name="_Toc27356"/>
      <w:bookmarkStart w:id="20" w:name="_Toc17817"/>
      <w:r>
        <w:rPr>
          <w:rFonts w:hint="eastAsia" w:ascii="宋体" w:hAnsi="宋体" w:eastAsia="宋体" w:cs="宋体"/>
          <w:b/>
          <w:bCs/>
          <w:color w:val="000000" w:themeColor="text1"/>
          <w:sz w:val="24"/>
          <w:szCs w:val="24"/>
          <w:highlight w:val="none"/>
          <w14:textFill>
            <w14:solidFill>
              <w14:schemeClr w14:val="tx1"/>
            </w14:solidFill>
          </w14:textFill>
        </w:rPr>
        <w:t>六、成交和合同</w:t>
      </w:r>
      <w:bookmarkEnd w:id="19"/>
      <w:bookmarkEnd w:id="20"/>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23</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成交</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 采购代理机构应当在评审结束后2个工作日内将评审报告送采购人确认。</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23.2 采购人应当在收到评审报告后5个工作日内，从评审报告提出的成交候选供应商中，按照排序由高到低的原则确定，也可以书面授权磋商小组直接确定。采购人逾期未确定且不提出异议的，视为确定评审报告提出的排序第一的供应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23.3 采购人或者采购代理机构应当在确定后2个工作日内，在</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规定的媒体上公告成交结果，并将磋商文件随成交结果同时公告。</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23.4 在公告成交结果的同时，采购人或者采购代理机构应当向发出成交通知书</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23.5 成交通知书对采购人具有同等法律效力。</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签订合同</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24.1 采购人应当在成交通知书发出之日起30日内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采购需求中另有约定的按其约定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，按照磋商文件确定的合同文本以及采购标的、规格型号、采购金额、采购数量、技术和服务要求等事项签订采购合同。</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 采购人不得提出超出磋商文件以外的任何要求作为签订合同的条件，不得与订立背离磋商文件确定的合同文本以及采购标的、规格型号、采购金额、采购数量、技术和服务要求等实质性内容的协议。</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24.4 拒绝签订采购合同的，采购人可以按照本章第23.2条规定的原则确定其他供应商作为并签订采购合同，也可以重新开展采购活动。拒绝签订采购合同的不得参加对该项目重新开展的采购活动。</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履约保证金</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25.1 按照</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的规定，在签订采购合同前，向采购人提交履约保证金。联合体成交的，履约保证金以联合体各方或联合体中牵头人的名义提交。</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25.2 没有按照</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的规定提交履约保证金的，视为放弃成交资格，其磋商保证金不予退还。</w:t>
      </w: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21" w:name="_Toc9313"/>
      <w:bookmarkStart w:id="22" w:name="_Toc23972"/>
      <w:r>
        <w:rPr>
          <w:rFonts w:hint="eastAsia" w:ascii="宋体" w:hAnsi="宋体" w:eastAsia="宋体" w:cs="宋体"/>
          <w:b/>
          <w:bCs/>
          <w:color w:val="000000" w:themeColor="text1"/>
          <w:sz w:val="24"/>
          <w:szCs w:val="24"/>
          <w:highlight w:val="none"/>
          <w14:textFill>
            <w14:solidFill>
              <w14:schemeClr w14:val="tx1"/>
            </w14:solidFill>
          </w14:textFill>
        </w:rPr>
        <w:t>七、询问和质疑</w:t>
      </w:r>
      <w:bookmarkEnd w:id="21"/>
      <w:bookmarkEnd w:id="22"/>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26.询问</w:t>
      </w:r>
    </w:p>
    <w:p>
      <w:pPr>
        <w:widowControl/>
        <w:shd w:val="clear"/>
        <w:topLinePunct/>
        <w:adjustRightInd w:val="0"/>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26.1 潜在供应商、供应商对采购活动事项有疑问的，可以向采购人或者采购代理机构提出询问，采购人或者采购代理机构应当在3个工作日内对依法提出的询问作出答复，但答复的内容不得涉及商业秘密。</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质疑</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潜在供应商、供应商（统称质疑人）认为采购文件、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eastAsia="宋体" w:cs="宋体"/>
          <w:b/>
          <w:bCs/>
          <w:color w:val="000000" w:themeColor="text1"/>
          <w:szCs w:val="21"/>
          <w:highlight w:val="none"/>
          <w14:textFill>
            <w14:solidFill>
              <w14:schemeClr w14:val="tx1"/>
            </w14:solidFill>
          </w14:textFill>
        </w:rPr>
        <w:t>见</w:t>
      </w:r>
      <w:r>
        <w:rPr>
          <w:rFonts w:hint="eastAsia" w:ascii="宋体" w:hAnsi="宋体" w:eastAsia="宋体" w:cs="宋体"/>
          <w:b/>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szCs w:val="21"/>
          <w:highlight w:val="none"/>
          <w14:textFill>
            <w14:solidFill>
              <w14:schemeClr w14:val="tx1"/>
            </w14:solidFill>
          </w14:textFill>
        </w:rPr>
        <w:t>。</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 在法定质疑期内，针对同一采购程序环节的质疑应一次性提出。</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27.3 质疑人应知其权益受到损害之日，是指： </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（1）对可以质疑的采购文件提出质疑的，为收到采购文件之日或者采购文件公告期限届满之日；</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（2）对采购过程提出质疑的，为各采购程序环节结束之日；</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（3）对成交结果提出质疑的，为成交结果公告期限届满之日。</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27.4 质疑应当有明确的请求和必要的证明材料。供应商为自然人的，应当由本人签字；供应商为法人或者其他组织的，应当由法定代表人、主要负责人并加盖公章。</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27.5 采购人或者代理机构应当在收到供应商的质疑函后7个工作日内，对质疑内容作出答复，</w:t>
      </w:r>
      <w:r>
        <w:rPr>
          <w:rFonts w:hint="eastAsia" w:ascii="宋体" w:hAnsi="宋体" w:eastAsia="宋体" w:cs="宋体"/>
          <w:bCs/>
          <w:color w:val="000000" w:themeColor="text1"/>
          <w:szCs w:val="21"/>
          <w:highlight w:val="none"/>
          <w14:textFill>
            <w14:solidFill>
              <w14:schemeClr w14:val="tx1"/>
            </w14:solidFill>
          </w14:textFill>
        </w:rPr>
        <w:t>书面形式</w:t>
      </w:r>
      <w:r>
        <w:rPr>
          <w:rFonts w:hint="eastAsia" w:ascii="宋体" w:hAnsi="宋体" w:eastAsia="宋体" w:cs="宋体"/>
          <w:color w:val="000000" w:themeColor="text1"/>
          <w:szCs w:val="21"/>
          <w:highlight w:val="none"/>
          <w14:textFill>
            <w14:solidFill>
              <w14:schemeClr w14:val="tx1"/>
            </w14:solidFill>
          </w14:textFill>
        </w:rPr>
        <w:t>通知质疑供应商和其他有关供应商，但答复内容不得涉及商业秘密。</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27.6 质疑人对采购人、采购代理机构的答复不满意或者采购人、采购代理机构未在规定的时间内作出答复的，可以在答复期满后15个工作日内向监督部门投诉。</w:t>
      </w:r>
    </w:p>
    <w:p>
      <w:pPr>
        <w:widowControl/>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27.7 投诉应当有明确的请求和必要的证明材料。投诉的事项不得超出已质疑事项的范围。</w:t>
      </w:r>
    </w:p>
    <w:p>
      <w:pPr>
        <w:widowControl/>
        <w:shd w:val="clear"/>
        <w:topLinePunct/>
        <w:snapToGrid w:val="0"/>
        <w:spacing w:before="60" w:beforeAutospacing="0" w:after="60" w:afterAutospacing="0" w:line="44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23" w:name="_Toc19541"/>
      <w:bookmarkStart w:id="24" w:name="_Toc9859"/>
      <w:r>
        <w:rPr>
          <w:rFonts w:hint="eastAsia" w:ascii="宋体" w:hAnsi="宋体" w:eastAsia="宋体" w:cs="宋体"/>
          <w:b/>
          <w:bCs/>
          <w:color w:val="000000" w:themeColor="text1"/>
          <w:sz w:val="24"/>
          <w:szCs w:val="24"/>
          <w:highlight w:val="none"/>
          <w14:textFill>
            <w14:solidFill>
              <w14:schemeClr w14:val="tx1"/>
            </w14:solidFill>
          </w14:textFill>
        </w:rPr>
        <w:t>八、其他</w:t>
      </w:r>
      <w:bookmarkEnd w:id="23"/>
      <w:bookmarkEnd w:id="24"/>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保密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28.1 采购人、采购代理机构应当参照政府采购法和本办法的规定组织开展磋商，并采取必要措施，保证磋商在严格保密的情况下进行。任何单位和个人不得非法干预、影响磋商过程和结果。</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28.2 磋商小组成员和参与评审工作的有关人员对评审情况以及在评审过程中获悉的国家秘密、商业秘密负有保密责任。</w:t>
      </w:r>
    </w:p>
    <w:p>
      <w:pPr>
        <w:widowControl/>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29.知识产权与规避专利、版权纠纷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 知识产权</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29.1.1 项目系统的版权属于采购人所有，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规避专利、版权纠纷</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29.2.1 供应商应保证其响应方案中的有关软件、文件、图纸等没有违反有关专利和版权等知识产权的规定。</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29.2.2 应保证采购人在中华人民共和国使用本项目成果任何一部分或接受乙方服务时，免受第三方提出的侵犯其专利权、商标权或工业设计权等知识产权的索赔或起诉。</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29.2.3 如果采购人在使用本项目任何一部分时被任何第三方诉称侵犯了第三方知识产权或任何其他权利，应负责处理这一指控并应以其名义自负费用向起诉方提出抗辩。由此可能产生的一切法律责任和经济责任均由承担。</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29.2.4 如果采购人发现任何第三方在采购人未被许可的范围内非法使用采购人获得的知识产权，采购人应通知。应在收到采购人通知后14天内采取行动制止非法使用行为，否则承担相应的责任。</w:t>
      </w:r>
    </w:p>
    <w:p>
      <w:pPr>
        <w:shd w:val="clear"/>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p>
      <w:pPr>
        <w:pStyle w:val="13"/>
        <w:shd w:val="clear"/>
        <w:rPr>
          <w:rFonts w:hint="eastAsia" w:ascii="宋体" w:hAnsi="宋体" w:eastAsia="宋体" w:cs="宋体"/>
          <w:color w:val="000000" w:themeColor="text1"/>
          <w:highlight w:val="none"/>
          <w14:textFill>
            <w14:solidFill>
              <w14:schemeClr w14:val="tx1"/>
            </w14:solidFill>
          </w14:textFill>
        </w:rPr>
        <w:sectPr>
          <w:pgSz w:w="11906" w:h="16838"/>
          <w:pgMar w:top="1440" w:right="1752" w:bottom="1440" w:left="1752" w:header="851" w:footer="992" w:gutter="0"/>
          <w:cols w:space="720" w:num="1"/>
          <w:titlePg/>
          <w:docGrid w:type="lines" w:linePitch="312" w:charSpace="0"/>
        </w:sectPr>
      </w:pPr>
    </w:p>
    <w:p>
      <w:pPr>
        <w:shd w:val="clear"/>
        <w:spacing w:before="0" w:beforeAutospacing="0" w:after="0" w:afterAutospacing="0" w:line="24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25" w:name="_Toc4566"/>
      <w:bookmarkStart w:id="26" w:name="_Toc24156"/>
      <w:r>
        <w:rPr>
          <w:rFonts w:hint="eastAsia" w:ascii="宋体" w:hAnsi="宋体" w:eastAsia="宋体" w:cs="宋体"/>
          <w:b/>
          <w:bCs/>
          <w:color w:val="000000" w:themeColor="text1"/>
          <w:sz w:val="28"/>
          <w:szCs w:val="28"/>
          <w:highlight w:val="none"/>
          <w14:textFill>
            <w14:solidFill>
              <w14:schemeClr w14:val="tx1"/>
            </w14:solidFill>
          </w14:textFill>
        </w:rPr>
        <w:t>第三章  评审方法及标准</w:t>
      </w:r>
      <w:bookmarkEnd w:id="25"/>
      <w:bookmarkEnd w:id="26"/>
    </w:p>
    <w:p>
      <w:pPr>
        <w:shd w:val="clear"/>
        <w:snapToGrid w:val="0"/>
        <w:spacing w:before="60" w:beforeAutospacing="0" w:after="60" w:afterAutospacing="0" w:line="440" w:lineRule="exact"/>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1.磋商小组构成</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本项目磋商小组由采购人代表和评审专家组成，成员人数为3人单数，其中评审专家不得少于成员总数的三分之二。</w:t>
      </w:r>
    </w:p>
    <w:p>
      <w:pPr>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2.评审方法</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本项目评审方法：</w:t>
      </w:r>
      <w:r>
        <w:rPr>
          <w:rFonts w:hint="eastAsia" w:ascii="宋体" w:hAnsi="宋体" w:eastAsia="宋体" w:cs="宋体"/>
          <w:b/>
          <w:color w:val="000000" w:themeColor="text1"/>
          <w:szCs w:val="21"/>
          <w:highlight w:val="none"/>
          <w:u w:val="single"/>
          <w14:textFill>
            <w14:solidFill>
              <w14:schemeClr w14:val="tx1"/>
            </w14:solidFill>
          </w14:textFill>
        </w:rPr>
        <w:t>采用综合评分法</w:t>
      </w:r>
    </w:p>
    <w:p>
      <w:pPr>
        <w:shd w:val="clear"/>
        <w:topLinePunct/>
        <w:adjustRightInd w:val="0"/>
        <w:snapToGrid w:val="0"/>
        <w:spacing w:before="60" w:beforeAutospacing="0" w:after="60" w:afterAutospacing="0"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3.评分标准</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本项目</w:t>
      </w:r>
      <w:r>
        <w:rPr>
          <w:rFonts w:hint="eastAsia" w:ascii="宋体" w:hAnsi="宋体" w:eastAsia="宋体" w:cs="宋体"/>
          <w:b/>
          <w:color w:val="000000" w:themeColor="text1"/>
          <w:kern w:val="0"/>
          <w:szCs w:val="21"/>
          <w:highlight w:val="none"/>
          <w:u w:val="single"/>
          <w14:textFill>
            <w14:solidFill>
              <w14:schemeClr w14:val="tx1"/>
            </w14:solidFill>
          </w14:textFill>
        </w:rPr>
        <w:t>采用百分制综合评分法</w:t>
      </w:r>
      <w:r>
        <w:rPr>
          <w:rFonts w:hint="eastAsia" w:ascii="宋体" w:hAnsi="宋体" w:eastAsia="宋体" w:cs="宋体"/>
          <w:color w:val="000000" w:themeColor="text1"/>
          <w:kern w:val="0"/>
          <w:szCs w:val="21"/>
          <w:highlight w:val="none"/>
          <w14:textFill>
            <w14:solidFill>
              <w14:schemeClr w14:val="tx1"/>
            </w14:solidFill>
          </w14:textFill>
        </w:rPr>
        <w:t>进行评分，综合评分法是指响应文件满足采购文件全部实质性要求，且按照评审因素的量化指标评审得分最高的供应商为成交候选供应商的评审方法。评审因素主要内容如下表。</w:t>
      </w:r>
    </w:p>
    <w:p>
      <w:pPr>
        <w:pStyle w:val="3"/>
        <w:shd w:val="clear"/>
        <w:snapToGrid w:val="0"/>
        <w:spacing w:before="60" w:after="60"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 本项目价格分值为</w:t>
      </w:r>
      <w:r>
        <w:rPr>
          <w:rFonts w:hint="eastAsia" w:ascii="宋体" w:hAnsi="宋体" w:eastAsia="宋体" w:cs="宋体"/>
          <w:color w:val="000000" w:themeColor="text1"/>
          <w:highlight w:val="none"/>
          <w:u w:val="singl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分，其余评审因素分值为</w:t>
      </w:r>
      <w:r>
        <w:rPr>
          <w:rFonts w:hint="eastAsia" w:ascii="宋体" w:hAnsi="宋体" w:eastAsia="宋体" w:cs="宋体"/>
          <w:color w:val="000000" w:themeColor="text1"/>
          <w:highlight w:val="none"/>
          <w:u w:val="single"/>
          <w:lang w:val="en-US" w:eastAsia="zh-CN"/>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t>分，按四舍五入取至百分位。</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本办法所称的“以上”“以下”“内”“以内”，包括本数；所称的“不足”，不包括本数。</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评审标准如下表：</w:t>
      </w:r>
    </w:p>
    <w:tbl>
      <w:tblPr>
        <w:tblStyle w:val="7"/>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52"/>
        <w:gridCol w:w="1176"/>
        <w:gridCol w:w="5835"/>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536" w:type="dxa"/>
            <w:vAlign w:val="center"/>
          </w:tcPr>
          <w:p>
            <w:pPr>
              <w:shd w:val="clear"/>
              <w:snapToGrid w:val="0"/>
              <w:spacing w:before="60" w:beforeAutospacing="0" w:after="60" w:afterAutospacing="0" w:line="440" w:lineRule="exact"/>
              <w:ind w:left="-105" w:leftChars="-50" w:right="-105" w:rightChars="-5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152" w:type="dxa"/>
            <w:vAlign w:val="center"/>
          </w:tcPr>
          <w:p>
            <w:pPr>
              <w:shd w:val="clear"/>
              <w:snapToGrid w:val="0"/>
              <w:spacing w:before="60" w:beforeAutospacing="0" w:after="60" w:afterAutospacing="0" w:line="440" w:lineRule="exact"/>
              <w:ind w:left="-105" w:leftChars="-50" w:right="-105" w:rightChars="-5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评分项目</w:t>
            </w:r>
          </w:p>
        </w:tc>
        <w:tc>
          <w:tcPr>
            <w:tcW w:w="7011" w:type="dxa"/>
            <w:gridSpan w:val="2"/>
            <w:vAlign w:val="center"/>
          </w:tcPr>
          <w:p>
            <w:pPr>
              <w:shd w:val="clear"/>
              <w:snapToGrid w:val="0"/>
              <w:spacing w:before="60" w:beforeAutospacing="0" w:after="6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kern w:val="0"/>
                <w:szCs w:val="21"/>
                <w:highlight w:val="none"/>
                <w14:textFill>
                  <w14:solidFill>
                    <w14:schemeClr w14:val="tx1"/>
                  </w14:solidFill>
                </w14:textFill>
              </w:rPr>
              <w:t>评分细则</w:t>
            </w:r>
          </w:p>
        </w:tc>
        <w:tc>
          <w:tcPr>
            <w:tcW w:w="664" w:type="dxa"/>
            <w:vAlign w:val="center"/>
          </w:tcPr>
          <w:p>
            <w:pPr>
              <w:shd w:val="clear"/>
              <w:snapToGrid w:val="0"/>
              <w:spacing w:before="60" w:beforeAutospacing="0" w:after="6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36" w:type="dxa"/>
            <w:vAlign w:val="center"/>
          </w:tcPr>
          <w:p>
            <w:pPr>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1152" w:type="dxa"/>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价格分（满分10分）</w:t>
            </w:r>
          </w:p>
        </w:tc>
        <w:tc>
          <w:tcPr>
            <w:tcW w:w="7011" w:type="dxa"/>
            <w:gridSpan w:val="2"/>
            <w:vAlign w:val="center"/>
          </w:tcPr>
          <w:p>
            <w:pPr>
              <w:pStyle w:val="16"/>
              <w:widowControl w:val="0"/>
              <w:shd w:val="clea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报价得分=（</w:t>
            </w:r>
            <w:r>
              <w:rPr>
                <w:rFonts w:hint="eastAsia" w:ascii="宋体" w:hAnsi="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基准价／最终报价）× 满分值</w:t>
            </w:r>
          </w:p>
          <w:p>
            <w:pPr>
              <w:pStyle w:val="16"/>
              <w:widowControl w:val="0"/>
              <w:shd w:val="clea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（1）评审基准价是指满足招标文件要求且最终报价最低的竞标报价。</w:t>
            </w:r>
          </w:p>
          <w:p>
            <w:pPr>
              <w:pStyle w:val="16"/>
              <w:widowControl w:val="0"/>
              <w:shd w:val="clea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（2）因落实政府采购政策进行价格调整的，以调整后的价格计算评审基准价和最终报价。</w:t>
            </w:r>
          </w:p>
          <w:p>
            <w:pPr>
              <w:pStyle w:val="16"/>
              <w:widowControl w:val="0"/>
              <w:shd w:val="clea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（3）调整后的价格只是作为</w:t>
            </w:r>
            <w:r>
              <w:rPr>
                <w:rFonts w:hint="eastAsia" w:ascii="宋体" w:hAnsi="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时使用，最终成交人的成交金额＝供应商最终报价。</w:t>
            </w:r>
          </w:p>
          <w:p>
            <w:pPr>
              <w:pStyle w:val="16"/>
              <w:widowControl w:val="0"/>
              <w:shd w:val="clea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注：下浮系数报价项目，以（1-下浮系数）作为参评报价。</w:t>
            </w:r>
          </w:p>
        </w:tc>
        <w:tc>
          <w:tcPr>
            <w:tcW w:w="664" w:type="dxa"/>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536" w:type="dxa"/>
            <w:vMerge w:val="restart"/>
            <w:vAlign w:val="center"/>
          </w:tcPr>
          <w:p>
            <w:pPr>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1152" w:type="dxa"/>
            <w:vMerge w:val="restart"/>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技术因素（满分</w:t>
            </w:r>
            <w:r>
              <w:rPr>
                <w:rFonts w:hint="eastAsia" w:ascii="宋体" w:hAnsi="宋体" w:eastAsia="宋体" w:cs="宋体"/>
                <w:color w:val="000000" w:themeColor="text1"/>
                <w:szCs w:val="21"/>
                <w:highlight w:val="none"/>
                <w:lang w:val="en-US" w:eastAsia="zh-CN"/>
                <w14:textFill>
                  <w14:solidFill>
                    <w14:schemeClr w14:val="tx1"/>
                  </w14:solidFill>
                </w14:textFill>
              </w:rPr>
              <w:t>48</w:t>
            </w:r>
            <w:r>
              <w:rPr>
                <w:rFonts w:hint="eastAsia" w:ascii="宋体" w:hAnsi="宋体" w:eastAsia="宋体" w:cs="宋体"/>
                <w:color w:val="000000" w:themeColor="text1"/>
                <w:szCs w:val="21"/>
                <w:highlight w:val="none"/>
                <w14:textFill>
                  <w14:solidFill>
                    <w14:schemeClr w14:val="tx1"/>
                  </w14:solidFill>
                </w14:textFill>
              </w:rPr>
              <w:t>分）</w:t>
            </w:r>
          </w:p>
        </w:tc>
        <w:tc>
          <w:tcPr>
            <w:tcW w:w="1176" w:type="dxa"/>
            <w:vAlign w:val="center"/>
          </w:tcPr>
          <w:p>
            <w:pPr>
              <w:shd w:val="clear"/>
              <w:spacing w:before="65" w:line="229" w:lineRule="auto"/>
              <w:ind w:left="11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拍卖服务方案</w:t>
            </w:r>
          </w:p>
        </w:tc>
        <w:tc>
          <w:tcPr>
            <w:tcW w:w="5835" w:type="dxa"/>
          </w:tcPr>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由磋商小组对供应商提供的拍卖服务方案内容进行评价。以下各项不重复计分：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①供应商的拍卖服务方案能完全响应项目采购需求的服务内容及要求前提下，能根据服务内容制订总体思路，得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②在满足上述第①条内容的基础上，供应商制订有拍卖流程质量措施，得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Cs w:val="21"/>
                <w:highlight w:val="none"/>
                <w14:textFill>
                  <w14:solidFill>
                    <w14:schemeClr w14:val="tx1"/>
                  </w14:solidFill>
                </w14:textFill>
              </w:rPr>
              <w:t>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③在满足上述第②条内容的基础上，供应商制订有应急处理机制方案；针对本项目服务内容提出服务的重点难点，并能提供解决措施，得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注：供应商未提供拍卖服务方案或拍卖服务方案未达到①标准要求的，得0分。</w:t>
            </w:r>
          </w:p>
        </w:tc>
        <w:tc>
          <w:tcPr>
            <w:tcW w:w="664" w:type="dxa"/>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536" w:type="dxa"/>
            <w:vMerge w:val="continue"/>
            <w:vAlign w:val="center"/>
          </w:tcPr>
          <w:p>
            <w:pPr>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152" w:type="dxa"/>
            <w:vMerge w:val="continue"/>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76" w:type="dxa"/>
            <w:vAlign w:val="center"/>
          </w:tcPr>
          <w:p>
            <w:pPr>
              <w:widowControl/>
              <w:shd w:val="clear"/>
              <w:topLinePunct/>
              <w:adjustRightInd w:val="0"/>
              <w:snapToGrid w:val="0"/>
              <w:spacing w:before="0" w:beforeAutospacing="0" w:after="0" w:afterAutospacing="0" w:line="360" w:lineRule="auto"/>
              <w:ind w:right="105" w:rightChars="50"/>
              <w:jc w:val="center"/>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组织实施方案</w:t>
            </w:r>
          </w:p>
        </w:tc>
        <w:tc>
          <w:tcPr>
            <w:tcW w:w="5835" w:type="dxa"/>
          </w:tcPr>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由磋商小组对供应商提供的组织实施方案内容进行评价。以下各项不重复计分：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①供应商针对本项目服务内容制订有具体的宣传策划方案（含报纸、电视、网站、微信、展示</w:t>
            </w:r>
            <w:r>
              <w:rPr>
                <w:rFonts w:hint="eastAsia" w:ascii="宋体" w:hAnsi="宋体" w:cs="宋体"/>
                <w:color w:val="000000" w:themeColor="text1"/>
                <w:kern w:val="0"/>
                <w:szCs w:val="21"/>
                <w:highlight w:val="none"/>
                <w:lang w:eastAsia="zh-CN"/>
                <w14:textFill>
                  <w14:solidFill>
                    <w14:schemeClr w14:val="tx1"/>
                  </w14:solidFill>
                </w14:textFill>
              </w:rPr>
              <w:t>板</w:t>
            </w:r>
            <w:r>
              <w:rPr>
                <w:rFonts w:hint="eastAsia" w:ascii="宋体" w:hAnsi="宋体" w:eastAsia="宋体" w:cs="宋体"/>
                <w:color w:val="000000" w:themeColor="text1"/>
                <w:kern w:val="0"/>
                <w:szCs w:val="21"/>
                <w:highlight w:val="none"/>
                <w14:textFill>
                  <w14:solidFill>
                    <w14:schemeClr w14:val="tx1"/>
                  </w14:solidFill>
                </w14:textFill>
              </w:rPr>
              <w:t>等），得5分；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②在满足上述第①条内容的基础上，供应商制订有具体的拍卖会现场组织工作方案和拍卖会现场人员配备及分工制度方案，得10分；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③在满足上述第②条内容的基础上，供应商制订有与采购人的各项手续交接方案和协助理清过户移交手续方案，得15分。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注：供应商未提供组织实施方案或组织实施方案未达到①标准要求的，得0分。</w:t>
            </w:r>
          </w:p>
        </w:tc>
        <w:tc>
          <w:tcPr>
            <w:tcW w:w="664" w:type="dxa"/>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6" w:type="dxa"/>
            <w:vMerge w:val="continue"/>
            <w:vAlign w:val="center"/>
          </w:tcPr>
          <w:p>
            <w:pPr>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152" w:type="dxa"/>
            <w:vMerge w:val="continue"/>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76" w:type="dxa"/>
            <w:vAlign w:val="center"/>
          </w:tcPr>
          <w:p>
            <w:pPr>
              <w:widowControl/>
              <w:shd w:val="clear"/>
              <w:topLinePunct/>
              <w:adjustRightInd w:val="0"/>
              <w:snapToGrid w:val="0"/>
              <w:spacing w:before="0" w:beforeAutospacing="0" w:after="0" w:afterAutospacing="0" w:line="360" w:lineRule="auto"/>
              <w:ind w:right="105" w:rightChars="50"/>
              <w:jc w:val="center"/>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管理制度</w:t>
            </w:r>
          </w:p>
        </w:tc>
        <w:tc>
          <w:tcPr>
            <w:tcW w:w="5835" w:type="dxa"/>
          </w:tcPr>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由磋商小组对供应商提供的管理制度内容进行评价。以下各项不重复计分：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①供应商针对本项目制订有具体的服务质量保障制度，得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②在满足上述第①条内容的基础上，供应商针对本项目制订有具体的保密管理制度，得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③在满足上述第②条内容的基础上，供应商针对本项目制订有具体的档案管理制度（包括但不限于：存档系统健全、有专用档案室、专职档案人员等），得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Cs w:val="21"/>
                <w:highlight w:val="none"/>
                <w14:textFill>
                  <w14:solidFill>
                    <w14:schemeClr w14:val="tx1"/>
                  </w14:solidFill>
                </w14:textFill>
              </w:rPr>
              <w:t>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注：未提供管理制度或管理制度未达到①标准要求的，得0分。</w:t>
            </w:r>
          </w:p>
        </w:tc>
        <w:tc>
          <w:tcPr>
            <w:tcW w:w="664" w:type="dxa"/>
          </w:tcPr>
          <w:p>
            <w:pPr>
              <w:shd w:val="clear"/>
              <w:snapToGrid w:val="0"/>
              <w:spacing w:before="60" w:beforeAutospacing="0" w:after="60" w:afterAutospacing="0" w:line="44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6" w:type="dxa"/>
            <w:vMerge w:val="restart"/>
            <w:vAlign w:val="center"/>
          </w:tcPr>
          <w:p>
            <w:pPr>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p>
        </w:tc>
        <w:tc>
          <w:tcPr>
            <w:tcW w:w="1152" w:type="dxa"/>
            <w:vMerge w:val="restart"/>
            <w:vAlign w:val="center"/>
          </w:tcPr>
          <w:p>
            <w:pPr>
              <w:widowControl/>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商务因素</w:t>
            </w:r>
          </w:p>
          <w:p>
            <w:pPr>
              <w:widowControl/>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42</w:t>
            </w:r>
            <w:r>
              <w:rPr>
                <w:rFonts w:hint="eastAsia" w:ascii="宋体" w:hAnsi="宋体" w:eastAsia="宋体" w:cs="宋体"/>
                <w:bCs/>
                <w:color w:val="000000" w:themeColor="text1"/>
                <w:szCs w:val="21"/>
                <w:highlight w:val="none"/>
                <w:lang w:val="zh-CN"/>
                <w14:textFill>
                  <w14:solidFill>
                    <w14:schemeClr w14:val="tx1"/>
                  </w14:solidFill>
                </w14:textFill>
              </w:rPr>
              <w:t>分）</w:t>
            </w:r>
          </w:p>
        </w:tc>
        <w:tc>
          <w:tcPr>
            <w:tcW w:w="1176" w:type="dxa"/>
            <w:vAlign w:val="center"/>
          </w:tcPr>
          <w:p>
            <w:pPr>
              <w:widowControl/>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开展拍卖活动的平台资格</w:t>
            </w:r>
          </w:p>
        </w:tc>
        <w:tc>
          <w:tcPr>
            <w:tcW w:w="5835" w:type="dxa"/>
            <w:vAlign w:val="center"/>
          </w:tcPr>
          <w:p>
            <w:pPr>
              <w:widowControl/>
              <w:shd w:val="clear"/>
              <w:topLinePunct/>
              <w:adjustRightInd w:val="0"/>
              <w:snapToGrid w:val="0"/>
              <w:spacing w:before="60" w:beforeAutospacing="0" w:after="60" w:afterAutospacing="0" w:line="440" w:lineRule="exact"/>
              <w:jc w:val="left"/>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供应商</w:t>
            </w:r>
            <w:r>
              <w:rPr>
                <w:rFonts w:hint="eastAsia" w:ascii="宋体" w:hAnsi="宋体" w:cs="宋体"/>
                <w:color w:val="000000" w:themeColor="text1"/>
                <w:spacing w:val="8"/>
                <w:sz w:val="21"/>
                <w:szCs w:val="21"/>
                <w:highlight w:val="none"/>
                <w:lang w:val="en-US" w:eastAsia="zh-CN"/>
                <w14:textFill>
                  <w14:solidFill>
                    <w14:schemeClr w14:val="tx1"/>
                  </w14:solidFill>
                </w14:textFill>
              </w:rPr>
              <w:t>可开展拍卖活动的</w:t>
            </w:r>
            <w:r>
              <w:rPr>
                <w:rFonts w:hint="eastAsia" w:ascii="宋体" w:hAnsi="宋体" w:eastAsia="宋体" w:cs="宋体"/>
                <w:color w:val="000000" w:themeColor="text1"/>
                <w:spacing w:val="8"/>
                <w:sz w:val="21"/>
                <w:szCs w:val="21"/>
                <w:highlight w:val="none"/>
                <w14:textFill>
                  <w14:solidFill>
                    <w14:schemeClr w14:val="tx1"/>
                  </w14:solidFill>
                </w14:textFill>
              </w:rPr>
              <w:t>拍卖平台，每个得4分，满分8分。</w:t>
            </w:r>
            <w:r>
              <w:rPr>
                <w:rFonts w:hint="eastAsia" w:ascii="宋体" w:hAnsi="宋体" w:eastAsia="宋体" w:cs="宋体"/>
                <w:b/>
                <w:bCs/>
                <w:color w:val="000000" w:themeColor="text1"/>
                <w:spacing w:val="5"/>
                <w:sz w:val="21"/>
                <w:szCs w:val="21"/>
                <w:highlight w:val="none"/>
                <w14:textFill>
                  <w14:solidFill>
                    <w14:schemeClr w14:val="tx1"/>
                  </w14:solidFill>
                </w14:textFill>
              </w:rPr>
              <w:t>注：响应文件中提供</w:t>
            </w:r>
            <w:r>
              <w:rPr>
                <w:rFonts w:hint="eastAsia" w:ascii="宋体" w:hAnsi="宋体" w:cs="宋体"/>
                <w:b/>
                <w:bCs/>
                <w:color w:val="000000" w:themeColor="text1"/>
                <w:spacing w:val="5"/>
                <w:sz w:val="21"/>
                <w:szCs w:val="21"/>
                <w:highlight w:val="none"/>
                <w:lang w:eastAsia="zh-CN"/>
                <w14:textFill>
                  <w14:solidFill>
                    <w14:schemeClr w14:val="tx1"/>
                  </w14:solidFill>
                </w14:textFill>
              </w:rPr>
              <w:t>（如：</w:t>
            </w:r>
            <w:r>
              <w:rPr>
                <w:rFonts w:hint="eastAsia" w:ascii="宋体" w:hAnsi="宋体" w:cs="宋体"/>
                <w:b/>
                <w:bCs/>
                <w:color w:val="000000" w:themeColor="text1"/>
                <w:spacing w:val="5"/>
                <w:sz w:val="21"/>
                <w:szCs w:val="21"/>
                <w:highlight w:val="none"/>
                <w:lang w:val="en-US" w:eastAsia="zh-CN"/>
                <w14:textFill>
                  <w14:solidFill>
                    <w14:schemeClr w14:val="tx1"/>
                  </w14:solidFill>
                </w14:textFill>
              </w:rPr>
              <w:t>平台授权、与平台签订的协议、</w:t>
            </w:r>
            <w:r>
              <w:rPr>
                <w:rFonts w:hint="eastAsia" w:ascii="宋体" w:hAnsi="宋体" w:cs="宋体"/>
                <w:b/>
                <w:bCs/>
                <w:color w:val="000000" w:themeColor="text1"/>
                <w:spacing w:val="5"/>
                <w:sz w:val="21"/>
                <w:szCs w:val="21"/>
                <w:highlight w:val="none"/>
                <w:lang w:eastAsia="zh-CN"/>
                <w14:textFill>
                  <w14:solidFill>
                    <w14:schemeClr w14:val="tx1"/>
                  </w14:solidFill>
                </w14:textFill>
              </w:rPr>
              <w:t>有效的平台注册登记信息</w:t>
            </w:r>
            <w:r>
              <w:rPr>
                <w:rFonts w:hint="eastAsia" w:ascii="宋体" w:hAnsi="宋体" w:cs="宋体"/>
                <w:b/>
                <w:bCs/>
                <w:color w:val="000000" w:themeColor="text1"/>
                <w:spacing w:val="5"/>
                <w:sz w:val="21"/>
                <w:szCs w:val="21"/>
                <w:highlight w:val="none"/>
                <w:lang w:val="en-US" w:eastAsia="zh-CN"/>
                <w14:textFill>
                  <w14:solidFill>
                    <w14:schemeClr w14:val="tx1"/>
                  </w14:solidFill>
                </w14:textFill>
              </w:rPr>
              <w:t>截图</w:t>
            </w:r>
            <w:r>
              <w:rPr>
                <w:rFonts w:hint="eastAsia" w:ascii="宋体" w:hAnsi="宋体" w:cs="宋体"/>
                <w:b/>
                <w:bCs/>
                <w:color w:val="000000" w:themeColor="text1"/>
                <w:spacing w:val="5"/>
                <w:sz w:val="21"/>
                <w:szCs w:val="21"/>
                <w:highlight w:val="none"/>
                <w:lang w:eastAsia="zh-CN"/>
                <w14:textFill>
                  <w14:solidFill>
                    <w14:schemeClr w14:val="tx1"/>
                  </w14:solidFill>
                </w14:textFill>
              </w:rPr>
              <w:t>、</w:t>
            </w:r>
            <w:r>
              <w:rPr>
                <w:rFonts w:hint="eastAsia" w:ascii="宋体" w:hAnsi="宋体" w:cs="宋体"/>
                <w:b/>
                <w:bCs/>
                <w:color w:val="000000" w:themeColor="text1"/>
                <w:spacing w:val="5"/>
                <w:sz w:val="21"/>
                <w:szCs w:val="21"/>
                <w:highlight w:val="none"/>
                <w:lang w:val="en-US" w:eastAsia="zh-CN"/>
                <w14:textFill>
                  <w14:solidFill>
                    <w14:schemeClr w14:val="tx1"/>
                  </w14:solidFill>
                </w14:textFill>
              </w:rPr>
              <w:t>在平台成功开展业务的记录等）可在拍卖</w:t>
            </w:r>
            <w:r>
              <w:rPr>
                <w:rFonts w:hint="eastAsia" w:ascii="宋体" w:hAnsi="宋体" w:eastAsia="宋体" w:cs="宋体"/>
                <w:b/>
                <w:bCs/>
                <w:color w:val="000000" w:themeColor="text1"/>
                <w:spacing w:val="5"/>
                <w:sz w:val="21"/>
                <w:szCs w:val="21"/>
                <w:highlight w:val="none"/>
                <w14:textFill>
                  <w14:solidFill>
                    <w14:schemeClr w14:val="tx1"/>
                  </w14:solidFill>
                </w14:textFill>
              </w:rPr>
              <w:t>平台开展业务的证明</w:t>
            </w:r>
            <w:r>
              <w:rPr>
                <w:rFonts w:hint="eastAsia" w:ascii="宋体" w:hAnsi="宋体" w:cs="宋体"/>
                <w:b/>
                <w:bCs/>
                <w:color w:val="000000" w:themeColor="text1"/>
                <w:spacing w:val="5"/>
                <w:sz w:val="21"/>
                <w:szCs w:val="21"/>
                <w:highlight w:val="none"/>
                <w:lang w:val="en-US" w:eastAsia="zh-CN"/>
                <w14:textFill>
                  <w14:solidFill>
                    <w14:schemeClr w14:val="tx1"/>
                  </w14:solidFill>
                </w14:textFill>
              </w:rPr>
              <w:t>材料</w:t>
            </w:r>
            <w:r>
              <w:rPr>
                <w:rFonts w:hint="eastAsia" w:ascii="宋体" w:hAnsi="宋体" w:eastAsia="宋体" w:cs="宋体"/>
                <w:b/>
                <w:bCs/>
                <w:color w:val="000000" w:themeColor="text1"/>
                <w:spacing w:val="5"/>
                <w:sz w:val="21"/>
                <w:szCs w:val="21"/>
                <w:highlight w:val="none"/>
                <w14:textFill>
                  <w14:solidFill>
                    <w14:schemeClr w14:val="tx1"/>
                  </w14:solidFill>
                </w14:textFill>
              </w:rPr>
              <w:t>复印件，未按要求提供</w:t>
            </w:r>
            <w:r>
              <w:rPr>
                <w:rFonts w:hint="eastAsia" w:ascii="宋体" w:hAnsi="宋体" w:eastAsia="宋体" w:cs="宋体"/>
                <w:b/>
                <w:bCs/>
                <w:color w:val="000000" w:themeColor="text1"/>
                <w:spacing w:val="4"/>
                <w:sz w:val="21"/>
                <w:szCs w:val="21"/>
                <w:highlight w:val="none"/>
                <w14:textFill>
                  <w14:solidFill>
                    <w14:schemeClr w14:val="tx1"/>
                  </w14:solidFill>
                </w14:textFill>
              </w:rPr>
              <w:t>者不得</w:t>
            </w:r>
            <w:r>
              <w:rPr>
                <w:rFonts w:hint="eastAsia" w:ascii="宋体" w:hAnsi="宋体" w:eastAsia="宋体" w:cs="宋体"/>
                <w:b/>
                <w:bCs/>
                <w:color w:val="000000" w:themeColor="text1"/>
                <w:spacing w:val="-2"/>
                <w:sz w:val="21"/>
                <w:szCs w:val="21"/>
                <w:highlight w:val="none"/>
                <w14:textFill>
                  <w14:solidFill>
                    <w14:schemeClr w14:val="tx1"/>
                  </w14:solidFill>
                </w14:textFill>
              </w:rPr>
              <w:t>分。</w:t>
            </w:r>
          </w:p>
        </w:tc>
        <w:tc>
          <w:tcPr>
            <w:tcW w:w="664" w:type="dxa"/>
            <w:vAlign w:val="center"/>
          </w:tcPr>
          <w:p>
            <w:pPr>
              <w:widowControl/>
              <w:shd w:val="clear"/>
              <w:overflowPunct w:val="0"/>
              <w:adjustRightInd w:val="0"/>
              <w:snapToGrid w:val="0"/>
              <w:spacing w:before="60" w:beforeAutospacing="0" w:after="60" w:afterAutospacing="0" w:line="440" w:lineRule="exact"/>
              <w:jc w:val="center"/>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536" w:type="dxa"/>
            <w:vMerge w:val="continue"/>
            <w:vAlign w:val="center"/>
          </w:tcPr>
          <w:p>
            <w:pPr>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152" w:type="dxa"/>
            <w:vMerge w:val="continue"/>
            <w:vAlign w:val="center"/>
          </w:tcPr>
          <w:p>
            <w:pPr>
              <w:widowControl/>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lang w:val="zh-CN"/>
                <w14:textFill>
                  <w14:solidFill>
                    <w14:schemeClr w14:val="tx1"/>
                  </w14:solidFill>
                </w14:textFill>
              </w:rPr>
            </w:pPr>
          </w:p>
        </w:tc>
        <w:tc>
          <w:tcPr>
            <w:tcW w:w="1176" w:type="dxa"/>
          </w:tcPr>
          <w:p>
            <w:pPr>
              <w:widowControl/>
              <w:shd w:val="clear"/>
              <w:topLinePunct/>
              <w:adjustRightInd w:val="0"/>
              <w:snapToGrid w:val="0"/>
              <w:spacing w:before="0" w:beforeAutospacing="0" w:after="0" w:afterAutospacing="0" w:line="360" w:lineRule="auto"/>
              <w:ind w:right="105" w:rightChars="5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类似项目业绩</w:t>
            </w:r>
          </w:p>
        </w:tc>
        <w:tc>
          <w:tcPr>
            <w:tcW w:w="5835" w:type="dxa"/>
          </w:tcPr>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2022年</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lang w:eastAsia="zh-CN"/>
                <w14:textFill>
                  <w14:solidFill>
                    <w14:schemeClr w14:val="tx1"/>
                  </w14:solidFill>
                </w14:textFill>
              </w:rPr>
              <w:t>月1日</w:t>
            </w:r>
            <w:r>
              <w:rPr>
                <w:rFonts w:hint="eastAsia" w:ascii="宋体" w:hAnsi="宋体" w:eastAsia="宋体" w:cs="宋体"/>
                <w:color w:val="000000" w:themeColor="text1"/>
                <w:kern w:val="0"/>
                <w:szCs w:val="21"/>
                <w:highlight w:val="none"/>
                <w14:textFill>
                  <w14:solidFill>
                    <w14:schemeClr w14:val="tx1"/>
                  </w14:solidFill>
                </w14:textFill>
              </w:rPr>
              <w:t>至今（以合同签订时间为准），供应商承接过类似项目（类似项目是指不动产、动产、无形资产、股票等有价证券拍卖服务项目）的，每个项目得4分，满分16分。</w:t>
            </w:r>
          </w:p>
          <w:p>
            <w:pPr>
              <w:widowControl/>
              <w:shd w:val="clear"/>
              <w:topLinePunct/>
              <w:adjustRightInd w:val="0"/>
              <w:snapToGrid w:val="0"/>
              <w:spacing w:before="0" w:beforeAutospacing="0" w:after="0" w:afterAutospacing="0" w:line="360" w:lineRule="auto"/>
              <w:ind w:left="105" w:leftChars="50" w:right="105" w:rightChars="50" w:firstLine="420" w:firstLineChars="200"/>
              <w:textAlignment w:val="baseline"/>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注：同一个项目签订多份合同的只能计算一次，不重复计分。响应文件提供合同复印件，未按要求提供者不得分。</w:t>
            </w:r>
          </w:p>
        </w:tc>
        <w:tc>
          <w:tcPr>
            <w:tcW w:w="664" w:type="dxa"/>
          </w:tcPr>
          <w:p>
            <w:pPr>
              <w:shd w:val="clear"/>
              <w:snapToGrid w:val="0"/>
              <w:spacing w:before="60" w:beforeAutospacing="0" w:after="60" w:afterAutospacing="0" w:line="44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36" w:type="dxa"/>
            <w:vMerge w:val="continue"/>
            <w:vAlign w:val="center"/>
          </w:tcPr>
          <w:p>
            <w:pPr>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152" w:type="dxa"/>
            <w:vMerge w:val="continue"/>
            <w:vAlign w:val="center"/>
          </w:tcPr>
          <w:p>
            <w:pPr>
              <w:widowControl/>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1176" w:type="dxa"/>
            <w:vAlign w:val="center"/>
          </w:tcPr>
          <w:p>
            <w:pPr>
              <w:widowControl/>
              <w:shd w:val="clear"/>
              <w:snapToGrid w:val="0"/>
              <w:spacing w:before="60" w:beforeAutospacing="0" w:after="60" w:afterAutospacing="0" w:line="4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人员资质</w:t>
            </w:r>
          </w:p>
        </w:tc>
        <w:tc>
          <w:tcPr>
            <w:tcW w:w="5835" w:type="dxa"/>
            <w:vAlign w:val="center"/>
          </w:tcPr>
          <w:p>
            <w:pPr>
              <w:widowControl/>
              <w:shd w:val="clear"/>
              <w:topLinePunct/>
              <w:snapToGrid w:val="0"/>
              <w:spacing w:before="60" w:beforeAutospacing="0" w:after="60" w:afterAutospacing="0" w:line="44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在满足采购需求的基础上对下列指标进行考核评分：</w:t>
            </w:r>
          </w:p>
          <w:p>
            <w:pPr>
              <w:pStyle w:val="13"/>
              <w:keepNext w:val="0"/>
              <w:keepLines w:val="0"/>
              <w:numPr>
                <w:ilvl w:val="4"/>
                <w:numId w:val="0"/>
              </w:numPr>
              <w:shd w:val="clear"/>
              <w:kinsoku/>
              <w:topLinePunct/>
              <w:autoSpaceDE/>
              <w:autoSpaceDN/>
              <w:adjustRightInd/>
              <w:spacing w:before="60" w:after="60" w:line="440" w:lineRule="exact"/>
              <w:ind w:firstLine="420" w:firstLineChars="200"/>
              <w:rPr>
                <w:rFonts w:hint="eastAsia" w:ascii="宋体" w:hAnsi="宋体" w:eastAsia="宋体" w:cs="宋体"/>
                <w:b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olor w:val="000000" w:themeColor="text1"/>
                <w:kern w:val="2"/>
                <w:sz w:val="21"/>
                <w:szCs w:val="21"/>
                <w:highlight w:val="none"/>
                <w14:textFill>
                  <w14:solidFill>
                    <w14:schemeClr w14:val="tx1"/>
                  </w14:solidFill>
                </w14:textFill>
              </w:rPr>
              <w:t>基础条件：</w:t>
            </w:r>
            <w:r>
              <w:rPr>
                <w:rFonts w:hint="eastAsia" w:ascii="宋体" w:hAnsi="宋体" w:eastAsia="宋体" w:cs="宋体"/>
                <w:b w:val="0"/>
                <w:color w:val="000000" w:themeColor="text1"/>
                <w:kern w:val="2"/>
                <w:sz w:val="21"/>
                <w:szCs w:val="21"/>
                <w:highlight w:val="none"/>
                <w:lang w:val="zh-CN"/>
                <w14:textFill>
                  <w14:solidFill>
                    <w14:schemeClr w14:val="tx1"/>
                  </w14:solidFill>
                </w14:textFill>
              </w:rPr>
              <w:t>针对本项目成立至少3人的服务团队，明确项目团队负责人及组成人员。</w:t>
            </w:r>
          </w:p>
          <w:p>
            <w:pPr>
              <w:pStyle w:val="13"/>
              <w:keepNext w:val="0"/>
              <w:keepLines w:val="0"/>
              <w:numPr>
                <w:ilvl w:val="4"/>
                <w:numId w:val="0"/>
              </w:numPr>
              <w:shd w:val="clear"/>
              <w:kinsoku/>
              <w:topLinePunct/>
              <w:autoSpaceDE/>
              <w:autoSpaceDN/>
              <w:adjustRightInd/>
              <w:spacing w:before="60" w:after="60" w:line="440" w:lineRule="exact"/>
              <w:ind w:firstLine="420" w:firstLineChars="200"/>
              <w:rPr>
                <w:rFonts w:hint="eastAsia" w:ascii="宋体" w:hAnsi="宋体" w:eastAsia="宋体" w:cs="宋体"/>
                <w:b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14:textFill>
                  <w14:solidFill>
                    <w14:schemeClr w14:val="tx1"/>
                  </w14:solidFill>
                </w14:textFill>
              </w:rPr>
              <w:t>注：拟投入人员</w:t>
            </w:r>
            <w:r>
              <w:rPr>
                <w:rFonts w:hint="eastAsia" w:ascii="宋体" w:hAnsi="宋体" w:eastAsia="宋体" w:cs="宋体"/>
                <w:b w:val="0"/>
                <w:color w:val="000000" w:themeColor="text1"/>
                <w:kern w:val="2"/>
                <w:sz w:val="21"/>
                <w:szCs w:val="21"/>
                <w:highlight w:val="none"/>
                <w14:textFill>
                  <w14:solidFill>
                    <w14:schemeClr w14:val="tx1"/>
                  </w14:solidFill>
                </w14:textFill>
              </w:rPr>
              <w:t>中至少</w:t>
            </w:r>
            <w:r>
              <w:rPr>
                <w:rFonts w:hint="eastAsia" w:ascii="宋体" w:hAnsi="宋体" w:eastAsia="宋体" w:cs="宋体"/>
                <w:b w:val="0"/>
                <w:color w:val="000000" w:themeColor="text1"/>
                <w:kern w:val="2"/>
                <w:sz w:val="21"/>
                <w:szCs w:val="21"/>
                <w:highlight w:val="none"/>
                <w:lang w:val="zh-CN"/>
                <w14:textFill>
                  <w14:solidFill>
                    <w14:schemeClr w14:val="tx1"/>
                  </w14:solidFill>
                </w14:textFill>
              </w:rPr>
              <w:t>1人具有有效的</w:t>
            </w:r>
            <w:r>
              <w:rPr>
                <w:rFonts w:hint="eastAsia" w:ascii="宋体" w:hAnsi="宋体" w:eastAsia="宋体" w:cs="宋体"/>
                <w:b w:val="0"/>
                <w:color w:val="000000" w:themeColor="text1"/>
                <w:kern w:val="2"/>
                <w:sz w:val="21"/>
                <w:szCs w:val="21"/>
                <w:highlight w:val="none"/>
                <w14:textFill>
                  <w14:solidFill>
                    <w14:schemeClr w14:val="tx1"/>
                  </w14:solidFill>
                </w14:textFill>
              </w:rPr>
              <w:t>国家注册拍卖师资格</w:t>
            </w:r>
            <w:r>
              <w:rPr>
                <w:rFonts w:hint="eastAsia" w:ascii="宋体" w:hAnsi="宋体" w:eastAsia="宋体" w:cs="宋体"/>
                <w:b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olor w:val="000000" w:themeColor="text1"/>
                <w:kern w:val="2"/>
                <w:sz w:val="21"/>
                <w:szCs w:val="21"/>
                <w:highlight w:val="none"/>
                <w:lang w:eastAsia="zh-CN"/>
                <w14:textFill>
                  <w14:solidFill>
                    <w14:schemeClr w14:val="tx1"/>
                  </w14:solidFill>
                </w14:textFill>
              </w:rPr>
              <w:t>项目负责人</w:t>
            </w:r>
            <w:r>
              <w:rPr>
                <w:rFonts w:hint="eastAsia" w:ascii="宋体" w:hAnsi="宋体" w:eastAsia="宋体" w:cs="宋体"/>
                <w:b w:val="0"/>
                <w:color w:val="000000" w:themeColor="text1"/>
                <w:kern w:val="2"/>
                <w:sz w:val="21"/>
                <w:szCs w:val="21"/>
                <w:highlight w:val="none"/>
                <w14:textFill>
                  <w14:solidFill>
                    <w14:schemeClr w14:val="tx1"/>
                  </w14:solidFill>
                </w14:textFill>
              </w:rPr>
              <w:t>可由拍卖师兼任</w:t>
            </w:r>
            <w:r>
              <w:rPr>
                <w:rFonts w:hint="eastAsia" w:ascii="宋体" w:hAnsi="宋体" w:eastAsia="宋体" w:cs="宋体"/>
                <w:b w:val="0"/>
                <w:color w:val="000000" w:themeColor="text1"/>
                <w:kern w:val="2"/>
                <w:sz w:val="21"/>
                <w:szCs w:val="21"/>
                <w:highlight w:val="none"/>
                <w:lang w:val="zh-CN"/>
                <w14:textFill>
                  <w14:solidFill>
                    <w14:schemeClr w14:val="tx1"/>
                  </w14:solidFill>
                </w14:textFill>
              </w:rPr>
              <w:t>。</w:t>
            </w:r>
          </w:p>
          <w:p>
            <w:pPr>
              <w:widowControl/>
              <w:shd w:val="clear"/>
              <w:topLinePunct/>
              <w:adjustRightInd w:val="0"/>
              <w:snapToGrid w:val="0"/>
              <w:spacing w:line="360" w:lineRule="auto"/>
              <w:ind w:left="105" w:leftChars="50" w:right="105" w:rightChars="50" w:firstLine="420" w:firstLineChars="200"/>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投入团队人员数量（6分）</w:t>
            </w:r>
          </w:p>
          <w:p>
            <w:pPr>
              <w:widowControl/>
              <w:shd w:val="clear"/>
              <w:topLinePunct/>
              <w:adjustRightInd w:val="0"/>
              <w:snapToGrid w:val="0"/>
              <w:spacing w:line="360" w:lineRule="auto"/>
              <w:ind w:left="105" w:leftChars="50" w:right="105" w:rightChars="50" w:firstLine="420" w:firstLineChars="200"/>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①拟投入的团队人员中，增加1名国家注册拍卖师的，每人得4分，满分4分；</w:t>
            </w:r>
          </w:p>
          <w:p>
            <w:pPr>
              <w:widowControl/>
              <w:shd w:val="clear"/>
              <w:topLinePunct/>
              <w:adjustRightInd w:val="0"/>
              <w:snapToGrid w:val="0"/>
              <w:spacing w:line="360" w:lineRule="auto"/>
              <w:ind w:left="105" w:leftChars="50" w:right="105" w:rightChars="5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②增加1名服务人员（非国家注册拍卖师），每人得2分，满分2分</w:t>
            </w:r>
            <w:r>
              <w:rPr>
                <w:rFonts w:hint="eastAsia" w:ascii="宋体" w:hAnsi="宋体" w:eastAsia="宋体" w:cs="宋体"/>
                <w:color w:val="000000" w:themeColor="text1"/>
                <w:sz w:val="21"/>
                <w:szCs w:val="21"/>
                <w:highlight w:val="none"/>
                <w14:textFill>
                  <w14:solidFill>
                    <w14:schemeClr w14:val="tx1"/>
                  </w14:solidFill>
                </w14:textFill>
              </w:rPr>
              <w:t>。</w:t>
            </w:r>
          </w:p>
          <w:p>
            <w:pPr>
              <w:widowControl/>
              <w:shd w:val="clear"/>
              <w:topLinePunct/>
              <w:adjustRightInd w:val="0"/>
              <w:snapToGrid w:val="0"/>
              <w:spacing w:line="360" w:lineRule="auto"/>
              <w:ind w:left="105" w:leftChars="50" w:right="105" w:rightChars="50" w:firstLine="448"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（2）工作经验加分项（12分）</w:t>
            </w:r>
          </w:p>
          <w:p>
            <w:pPr>
              <w:widowControl/>
              <w:shd w:val="clear"/>
              <w:topLinePunct/>
              <w:adjustRightInd w:val="0"/>
              <w:snapToGrid w:val="0"/>
              <w:spacing w:line="360" w:lineRule="auto"/>
              <w:ind w:left="105" w:leftChars="50" w:right="105" w:rightChars="50" w:firstLine="448"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①供应商拟投入本项目的</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项目负责人</w:t>
            </w:r>
            <w:r>
              <w:rPr>
                <w:rFonts w:hint="eastAsia" w:ascii="宋体" w:hAnsi="宋体" w:eastAsia="宋体" w:cs="宋体"/>
                <w:color w:val="000000" w:themeColor="text1"/>
                <w:spacing w:val="7"/>
                <w:sz w:val="21"/>
                <w:szCs w:val="21"/>
                <w:highlight w:val="none"/>
                <w14:textFill>
                  <w14:solidFill>
                    <w14:schemeClr w14:val="tx1"/>
                  </w14:solidFill>
                </w14:textFill>
              </w:rPr>
              <w:t>，具有2</w:t>
            </w:r>
            <w:r>
              <w:rPr>
                <w:rFonts w:hint="eastAsia" w:ascii="宋体" w:hAnsi="宋体" w:eastAsia="宋体" w:cs="宋体"/>
                <w:color w:val="000000" w:themeColor="text1"/>
                <w:spacing w:val="6"/>
                <w:sz w:val="21"/>
                <w:szCs w:val="21"/>
                <w:highlight w:val="none"/>
                <w14:textFill>
                  <w14:solidFill>
                    <w14:schemeClr w14:val="tx1"/>
                  </w14:solidFill>
                </w14:textFill>
              </w:rPr>
              <w:t>年以上不足3年相</w:t>
            </w:r>
            <w:r>
              <w:rPr>
                <w:rFonts w:hint="eastAsia" w:ascii="宋体" w:hAnsi="宋体" w:eastAsia="宋体" w:cs="宋体"/>
                <w:color w:val="000000" w:themeColor="text1"/>
                <w:spacing w:val="7"/>
                <w:sz w:val="21"/>
                <w:szCs w:val="21"/>
                <w:highlight w:val="none"/>
                <w14:textFill>
                  <w14:solidFill>
                    <w14:schemeClr w14:val="tx1"/>
                  </w14:solidFill>
                </w14:textFill>
              </w:rPr>
              <w:t>关岗位工作经验的，得2分；具有3年</w:t>
            </w:r>
            <w:r>
              <w:rPr>
                <w:rFonts w:hint="eastAsia" w:ascii="宋体" w:hAnsi="宋体" w:eastAsia="宋体" w:cs="宋体"/>
                <w:color w:val="000000" w:themeColor="text1"/>
                <w:spacing w:val="6"/>
                <w:sz w:val="21"/>
                <w:szCs w:val="21"/>
                <w:highlight w:val="none"/>
                <w14:textFill>
                  <w14:solidFill>
                    <w14:schemeClr w14:val="tx1"/>
                  </w14:solidFill>
                </w14:textFill>
              </w:rPr>
              <w:t>以上相关岗位工作经验</w:t>
            </w:r>
            <w:r>
              <w:rPr>
                <w:rFonts w:hint="eastAsia" w:ascii="宋体" w:hAnsi="宋体" w:eastAsia="宋体" w:cs="宋体"/>
                <w:color w:val="000000" w:themeColor="text1"/>
                <w:spacing w:val="7"/>
                <w:sz w:val="21"/>
                <w:szCs w:val="21"/>
                <w:highlight w:val="none"/>
                <w14:textFill>
                  <w14:solidFill>
                    <w14:schemeClr w14:val="tx1"/>
                  </w14:solidFill>
                </w14:textFill>
              </w:rPr>
              <w:t>的，得4分；满分4分。</w:t>
            </w:r>
          </w:p>
          <w:p>
            <w:pPr>
              <w:widowControl/>
              <w:shd w:val="clear"/>
              <w:topLinePunct/>
              <w:adjustRightInd w:val="0"/>
              <w:snapToGrid w:val="0"/>
              <w:spacing w:line="360" w:lineRule="auto"/>
              <w:ind w:left="105" w:leftChars="50" w:right="105" w:rightChars="50" w:firstLine="448"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②供应商拟投入本项目的拍卖师（除</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项目负责人</w:t>
            </w:r>
            <w:r>
              <w:rPr>
                <w:rFonts w:hint="eastAsia" w:ascii="宋体" w:hAnsi="宋体" w:eastAsia="宋体" w:cs="宋体"/>
                <w:color w:val="000000" w:themeColor="text1"/>
                <w:spacing w:val="7"/>
                <w:sz w:val="21"/>
                <w:szCs w:val="21"/>
                <w:highlight w:val="none"/>
                <w14:textFill>
                  <w14:solidFill>
                    <w14:schemeClr w14:val="tx1"/>
                  </w14:solidFill>
                </w14:textFill>
              </w:rPr>
              <w:t>外），全部具有2年以上不</w:t>
            </w:r>
            <w:r>
              <w:rPr>
                <w:rFonts w:hint="eastAsia" w:ascii="宋体" w:hAnsi="宋体" w:eastAsia="宋体" w:cs="宋体"/>
                <w:color w:val="000000" w:themeColor="text1"/>
                <w:spacing w:val="6"/>
                <w:sz w:val="21"/>
                <w:szCs w:val="21"/>
                <w:highlight w:val="none"/>
                <w14:textFill>
                  <w14:solidFill>
                    <w14:schemeClr w14:val="tx1"/>
                  </w14:solidFill>
                </w14:textFill>
              </w:rPr>
              <w:t>足3年相关</w:t>
            </w:r>
            <w:r>
              <w:rPr>
                <w:rFonts w:hint="eastAsia" w:ascii="宋体" w:hAnsi="宋体" w:eastAsia="宋体" w:cs="宋体"/>
                <w:color w:val="000000" w:themeColor="text1"/>
                <w:spacing w:val="2"/>
                <w:sz w:val="21"/>
                <w:szCs w:val="21"/>
                <w:highlight w:val="none"/>
                <w14:textFill>
                  <w14:solidFill>
                    <w14:schemeClr w14:val="tx1"/>
                  </w14:solidFill>
                </w14:textFill>
              </w:rPr>
              <w:t>岗位工作经验的，得2分；全部具有3年以上相</w:t>
            </w:r>
            <w:r>
              <w:rPr>
                <w:rFonts w:hint="eastAsia" w:ascii="宋体" w:hAnsi="宋体" w:eastAsia="宋体" w:cs="宋体"/>
                <w:color w:val="000000" w:themeColor="text1"/>
                <w:spacing w:val="1"/>
                <w:sz w:val="21"/>
                <w:szCs w:val="21"/>
                <w:highlight w:val="none"/>
                <w14:textFill>
                  <w14:solidFill>
                    <w14:schemeClr w14:val="tx1"/>
                  </w14:solidFill>
                </w14:textFill>
              </w:rPr>
              <w:t>关岗位工作经验的，</w:t>
            </w:r>
            <w:r>
              <w:rPr>
                <w:rFonts w:hint="eastAsia" w:ascii="宋体" w:hAnsi="宋体" w:eastAsia="宋体" w:cs="宋体"/>
                <w:color w:val="000000" w:themeColor="text1"/>
                <w:spacing w:val="6"/>
                <w:sz w:val="21"/>
                <w:szCs w:val="21"/>
                <w:highlight w:val="none"/>
                <w14:textFill>
                  <w14:solidFill>
                    <w14:schemeClr w14:val="tx1"/>
                  </w14:solidFill>
                </w14:textFill>
              </w:rPr>
              <w:t>得4分；满分4分。</w:t>
            </w:r>
          </w:p>
          <w:p>
            <w:pPr>
              <w:widowControl/>
              <w:shd w:val="clear"/>
              <w:topLinePunct/>
              <w:adjustRightInd w:val="0"/>
              <w:snapToGrid w:val="0"/>
              <w:spacing w:line="360" w:lineRule="auto"/>
              <w:ind w:left="105" w:leftChars="50" w:right="105" w:rightChars="50" w:firstLine="448"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③供应商拟投入本项目的</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其他人员</w:t>
            </w:r>
            <w:r>
              <w:rPr>
                <w:rFonts w:hint="eastAsia" w:ascii="宋体" w:hAnsi="宋体" w:eastAsia="宋体" w:cs="宋体"/>
                <w:color w:val="000000" w:themeColor="text1"/>
                <w:spacing w:val="7"/>
                <w:sz w:val="21"/>
                <w:szCs w:val="21"/>
                <w:highlight w:val="none"/>
                <w14:textFill>
                  <w14:solidFill>
                    <w14:schemeClr w14:val="tx1"/>
                  </w14:solidFill>
                </w14:textFill>
              </w:rPr>
              <w:t>，全部具有1年以上不</w:t>
            </w:r>
            <w:r>
              <w:rPr>
                <w:rFonts w:hint="eastAsia" w:ascii="宋体" w:hAnsi="宋体" w:eastAsia="宋体" w:cs="宋体"/>
                <w:color w:val="000000" w:themeColor="text1"/>
                <w:spacing w:val="6"/>
                <w:sz w:val="21"/>
                <w:szCs w:val="21"/>
                <w:highlight w:val="none"/>
                <w14:textFill>
                  <w14:solidFill>
                    <w14:schemeClr w14:val="tx1"/>
                  </w14:solidFill>
                </w14:textFill>
              </w:rPr>
              <w:t>足2年相关</w:t>
            </w:r>
            <w:r>
              <w:rPr>
                <w:rFonts w:hint="eastAsia" w:ascii="宋体" w:hAnsi="宋体" w:eastAsia="宋体" w:cs="宋体"/>
                <w:color w:val="000000" w:themeColor="text1"/>
                <w:spacing w:val="2"/>
                <w:sz w:val="21"/>
                <w:szCs w:val="21"/>
                <w:highlight w:val="none"/>
                <w14:textFill>
                  <w14:solidFill>
                    <w14:schemeClr w14:val="tx1"/>
                  </w14:solidFill>
                </w14:textFill>
              </w:rPr>
              <w:t>岗位工作经验的，得2分；全部具有2年以上相</w:t>
            </w:r>
            <w:r>
              <w:rPr>
                <w:rFonts w:hint="eastAsia" w:ascii="宋体" w:hAnsi="宋体" w:eastAsia="宋体" w:cs="宋体"/>
                <w:color w:val="000000" w:themeColor="text1"/>
                <w:spacing w:val="1"/>
                <w:sz w:val="21"/>
                <w:szCs w:val="21"/>
                <w:highlight w:val="none"/>
                <w14:textFill>
                  <w14:solidFill>
                    <w14:schemeClr w14:val="tx1"/>
                  </w14:solidFill>
                </w14:textFill>
              </w:rPr>
              <w:t>关岗位工作经验的，</w:t>
            </w:r>
            <w:r>
              <w:rPr>
                <w:rFonts w:hint="eastAsia" w:ascii="宋体" w:hAnsi="宋体" w:eastAsia="宋体" w:cs="宋体"/>
                <w:color w:val="000000" w:themeColor="text1"/>
                <w:spacing w:val="6"/>
                <w:sz w:val="21"/>
                <w:szCs w:val="21"/>
                <w:highlight w:val="none"/>
                <w14:textFill>
                  <w14:solidFill>
                    <w14:schemeClr w14:val="tx1"/>
                  </w14:solidFill>
                </w14:textFill>
              </w:rPr>
              <w:t>得4分；满分4分。</w:t>
            </w:r>
          </w:p>
          <w:p>
            <w:pPr>
              <w:widowControl/>
              <w:shd w:val="clear"/>
              <w:topLinePunct/>
              <w:snapToGrid w:val="0"/>
              <w:spacing w:before="60" w:beforeAutospacing="0" w:after="60" w:afterAutospacing="0" w:line="440" w:lineRule="exact"/>
              <w:ind w:firstLine="422" w:firstLineChars="2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注：上述评分中，</w:t>
            </w: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szCs w:val="21"/>
                <w:highlight w:val="none"/>
                <w:lang w:val="zh-CN"/>
                <w14:textFill>
                  <w14:solidFill>
                    <w14:schemeClr w14:val="tx1"/>
                  </w14:solidFill>
                </w14:textFill>
              </w:rPr>
              <w:t>需提供拟投入人员清单及投入人员</w:t>
            </w:r>
            <w:r>
              <w:rPr>
                <w:rFonts w:hint="eastAsia" w:ascii="宋体" w:hAnsi="宋体" w:eastAsia="宋体" w:cs="宋体"/>
                <w:b/>
                <w:bCs/>
                <w:color w:val="000000" w:themeColor="text1"/>
                <w:szCs w:val="21"/>
                <w:highlight w:val="none"/>
                <w14:textFill>
                  <w14:solidFill>
                    <w14:schemeClr w14:val="tx1"/>
                  </w14:solidFill>
                </w14:textFill>
              </w:rPr>
              <w:t>满足</w:t>
            </w:r>
            <w:r>
              <w:rPr>
                <w:rFonts w:hint="eastAsia" w:ascii="宋体" w:hAnsi="宋体" w:eastAsia="宋体" w:cs="宋体"/>
                <w:b/>
                <w:bCs/>
                <w:color w:val="000000" w:themeColor="text1"/>
                <w:szCs w:val="21"/>
                <w:highlight w:val="none"/>
                <w:lang w:val="zh-CN"/>
                <w14:textFill>
                  <w14:solidFill>
                    <w14:schemeClr w14:val="tx1"/>
                  </w14:solidFill>
                </w14:textFill>
              </w:rPr>
              <w:t>评分</w:t>
            </w:r>
            <w:r>
              <w:rPr>
                <w:rFonts w:hint="eastAsia" w:ascii="宋体" w:hAnsi="宋体" w:eastAsia="宋体" w:cs="宋体"/>
                <w:b/>
                <w:bCs/>
                <w:color w:val="000000" w:themeColor="text1"/>
                <w:szCs w:val="21"/>
                <w:highlight w:val="none"/>
                <w14:textFill>
                  <w14:solidFill>
                    <w14:schemeClr w14:val="tx1"/>
                  </w14:solidFill>
                </w14:textFill>
              </w:rPr>
              <w:t>条件</w:t>
            </w:r>
            <w:r>
              <w:rPr>
                <w:rFonts w:hint="eastAsia" w:ascii="宋体" w:hAnsi="宋体" w:eastAsia="宋体" w:cs="宋体"/>
                <w:b/>
                <w:bCs/>
                <w:color w:val="000000" w:themeColor="text1"/>
                <w:szCs w:val="21"/>
                <w:highlight w:val="none"/>
                <w:lang w:val="zh-CN"/>
                <w14:textFill>
                  <w14:solidFill>
                    <w14:schemeClr w14:val="tx1"/>
                  </w14:solidFill>
                </w14:textFill>
              </w:rPr>
              <w:t>的相关</w:t>
            </w:r>
            <w:r>
              <w:rPr>
                <w:rFonts w:hint="eastAsia" w:ascii="宋体" w:hAnsi="宋体" w:eastAsia="宋体" w:cs="宋体"/>
                <w:b/>
                <w:bCs/>
                <w:color w:val="000000" w:themeColor="text1"/>
                <w:szCs w:val="21"/>
                <w:highlight w:val="none"/>
                <w14:textFill>
                  <w14:solidFill>
                    <w14:schemeClr w14:val="tx1"/>
                  </w14:solidFill>
                </w14:textFill>
              </w:rPr>
              <w:t>学历、执业、职称等证书</w:t>
            </w:r>
            <w:r>
              <w:rPr>
                <w:rFonts w:hint="eastAsia" w:ascii="宋体" w:hAnsi="宋体" w:eastAsia="宋体" w:cs="宋体"/>
                <w:b/>
                <w:bCs/>
                <w:color w:val="000000" w:themeColor="text1"/>
                <w:szCs w:val="21"/>
                <w:highlight w:val="none"/>
                <w:lang w:val="zh-CN"/>
                <w14:textFill>
                  <w14:solidFill>
                    <w14:schemeClr w14:val="tx1"/>
                  </w14:solidFill>
                </w14:textFill>
              </w:rPr>
              <w:t>复印件，以及人员与</w:t>
            </w: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szCs w:val="21"/>
                <w:highlight w:val="none"/>
                <w:lang w:val="zh-CN"/>
                <w14:textFill>
                  <w14:solidFill>
                    <w14:schemeClr w14:val="tx1"/>
                  </w14:solidFill>
                </w14:textFill>
              </w:rPr>
              <w:t>签署的劳动合同（</w:t>
            </w:r>
            <w:r>
              <w:rPr>
                <w:rFonts w:hint="eastAsia" w:ascii="宋体" w:hAnsi="宋体" w:cs="宋体"/>
                <w:b/>
                <w:bCs/>
                <w:color w:val="000000" w:themeColor="text1"/>
                <w:szCs w:val="21"/>
                <w:highlight w:val="none"/>
                <w:lang w:val="en-US" w:eastAsia="zh-CN"/>
                <w14:textFill>
                  <w14:solidFill>
                    <w14:schemeClr w14:val="tx1"/>
                  </w14:solidFill>
                </w14:textFill>
              </w:rPr>
              <w:t>至</w:t>
            </w:r>
            <w:r>
              <w:rPr>
                <w:rFonts w:hint="eastAsia" w:ascii="宋体" w:hAnsi="宋体" w:eastAsia="宋体" w:cs="宋体"/>
                <w:b/>
                <w:bCs/>
                <w:color w:val="000000" w:themeColor="text1"/>
                <w:szCs w:val="21"/>
                <w:highlight w:val="none"/>
                <w:lang w:val="zh-CN"/>
                <w14:textFill>
                  <w14:solidFill>
                    <w14:schemeClr w14:val="tx1"/>
                  </w14:solidFill>
                </w14:textFill>
              </w:rPr>
              <w:t>本项目</w:t>
            </w:r>
            <w:r>
              <w:rPr>
                <w:rFonts w:hint="eastAsia" w:ascii="宋体" w:hAnsi="宋体" w:cs="宋体"/>
                <w:b/>
                <w:bCs/>
                <w:color w:val="000000" w:themeColor="text1"/>
                <w:szCs w:val="21"/>
                <w:highlight w:val="none"/>
                <w:lang w:val="en-US" w:eastAsia="zh-CN"/>
                <w14:textFill>
                  <w14:solidFill>
                    <w14:schemeClr w14:val="tx1"/>
                  </w14:solidFill>
                </w14:textFill>
              </w:rPr>
              <w:t>响应文件递交截止日</w:t>
            </w:r>
            <w:r>
              <w:rPr>
                <w:rFonts w:hint="eastAsia" w:ascii="宋体" w:hAnsi="宋体" w:eastAsia="宋体" w:cs="宋体"/>
                <w:b/>
                <w:bCs/>
                <w:color w:val="000000" w:themeColor="text1"/>
                <w:szCs w:val="21"/>
                <w:highlight w:val="none"/>
                <w:lang w:val="zh-CN"/>
                <w14:textFill>
                  <w14:solidFill>
                    <w14:schemeClr w14:val="tx1"/>
                  </w14:solidFill>
                </w14:textFill>
              </w:rPr>
              <w:t>当天合同仍在有效期内）复印件、工作履历，否则不计分</w:t>
            </w:r>
            <w:r>
              <w:rPr>
                <w:rFonts w:hint="eastAsia" w:ascii="宋体" w:hAnsi="宋体" w:eastAsia="宋体" w:cs="宋体"/>
                <w:b/>
                <w:bCs/>
                <w:color w:val="000000" w:themeColor="text1"/>
                <w:szCs w:val="21"/>
                <w:highlight w:val="none"/>
                <w14:textFill>
                  <w14:solidFill>
                    <w14:schemeClr w14:val="tx1"/>
                  </w14:solidFill>
                </w14:textFill>
              </w:rPr>
              <w:t>。同一人持有不同专业职称证书不重复计分。</w:t>
            </w:r>
          </w:p>
        </w:tc>
        <w:tc>
          <w:tcPr>
            <w:tcW w:w="664" w:type="dxa"/>
            <w:vAlign w:val="center"/>
          </w:tcPr>
          <w:p>
            <w:pPr>
              <w:widowControl/>
              <w:shd w:val="clear"/>
              <w:overflowPunct w:val="0"/>
              <w:adjustRightInd w:val="0"/>
              <w:snapToGrid w:val="0"/>
              <w:spacing w:before="60" w:beforeAutospacing="0" w:after="60" w:afterAutospacing="0" w:line="440" w:lineRule="exact"/>
              <w:jc w:val="center"/>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88" w:type="dxa"/>
            <w:gridSpan w:val="2"/>
            <w:vAlign w:val="center"/>
          </w:tcPr>
          <w:p>
            <w:pPr>
              <w:shd w:val="clear"/>
              <w:snapToGrid w:val="0"/>
              <w:spacing w:before="60" w:beforeAutospacing="0" w:after="60" w:afterAutospacing="0" w:line="4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总得分</w:t>
            </w:r>
          </w:p>
        </w:tc>
        <w:tc>
          <w:tcPr>
            <w:tcW w:w="7011" w:type="dxa"/>
            <w:gridSpan w:val="2"/>
            <w:vAlign w:val="center"/>
          </w:tcPr>
          <w:p>
            <w:pPr>
              <w:shd w:val="clear"/>
              <w:snapToGrid w:val="0"/>
              <w:spacing w:before="60" w:beforeAutospacing="0" w:after="60" w:afterAutospacing="0" w:line="4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1+2+3</w:t>
            </w:r>
          </w:p>
        </w:tc>
        <w:tc>
          <w:tcPr>
            <w:tcW w:w="664" w:type="dxa"/>
            <w:vAlign w:val="center"/>
          </w:tcPr>
          <w:p>
            <w:pPr>
              <w:shd w:val="clear"/>
              <w:snapToGrid w:val="0"/>
              <w:spacing w:before="60" w:beforeAutospacing="0" w:after="60" w:afterAutospacing="0" w:line="4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100</w:t>
            </w:r>
          </w:p>
        </w:tc>
      </w:tr>
    </w:tbl>
    <w:p>
      <w:pPr>
        <w:shd w:val="clear"/>
        <w:topLinePunct/>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4.落实政府采购政策进行价格调整的规则：</w:t>
      </w:r>
    </w:p>
    <w:tbl>
      <w:tblPr>
        <w:tblStyle w:val="7"/>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3561"/>
        <w:gridCol w:w="3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政府采购政策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价格扣除规则</w:t>
            </w:r>
          </w:p>
        </w:tc>
        <w:tc>
          <w:tcPr>
            <w:tcW w:w="3355"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节约能源政策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不适用</w:t>
            </w:r>
          </w:p>
        </w:tc>
        <w:tc>
          <w:tcPr>
            <w:tcW w:w="3355"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保护环境政策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不适用</w:t>
            </w:r>
          </w:p>
        </w:tc>
        <w:tc>
          <w:tcPr>
            <w:tcW w:w="3355"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促进中小企业发展政策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pStyle w:val="3"/>
              <w:shd w:val="clear"/>
              <w:spacing w:line="33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1.货物服务采购项目给予小微企业的价格评审优惠为15%～20%的扣除，用扣除后的价格参与评审。本项目的扣除比例为：小型企业扣除15%，微型企业扣除15%。</w:t>
            </w:r>
          </w:p>
          <w:p>
            <w:pPr>
              <w:pStyle w:val="3"/>
              <w:shd w:val="clear"/>
              <w:spacing w:line="33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项目接受联合体或者分包投标的，若小型和微型企业的协议合同金额占到联合体协议或者分包意向协议合同总金额30%以上的，给予联合体或者大中型企业报价5%～6%的扣除，用扣除后的价格参与评审。本项目的扣除比例为：_5_%。</w:t>
            </w:r>
          </w:p>
        </w:tc>
        <w:tc>
          <w:tcPr>
            <w:tcW w:w="3355" w:type="dxa"/>
            <w:tcBorders>
              <w:top w:val="single" w:color="000000" w:sz="4" w:space="0"/>
              <w:left w:val="single" w:color="000000" w:sz="4" w:space="0"/>
              <w:bottom w:val="single" w:color="000000" w:sz="4" w:space="0"/>
              <w:right w:val="single" w:color="000000" w:sz="4" w:space="0"/>
            </w:tcBorders>
            <w:vAlign w:val="center"/>
          </w:tcPr>
          <w:p>
            <w:pPr>
              <w:pStyle w:val="16"/>
              <w:widowControl w:val="0"/>
              <w:shd w:val="clear"/>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pStyle w:val="16"/>
              <w:widowControl w:val="0"/>
              <w:shd w:val="clea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（2）在服务采购项目中，服务由中小企业承接，即提供服务的人员为中小企业依照《中华人民共和国劳动合同法》订立劳动合同的从业人员，不对其中涉及的货物的制造商和工程承建商作出要求。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促进残疾人就业政策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pStyle w:val="16"/>
              <w:widowControl w:val="0"/>
              <w:shd w:val="clea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并对其投标报价给予15%的扣除，扣除后的价格为评标报价，即评标报价=投标报价×（1-15%）。残疾人福利性单位属于小型、微型企业的，不重复享受政策。</w:t>
            </w:r>
          </w:p>
        </w:tc>
        <w:tc>
          <w:tcPr>
            <w:tcW w:w="3355" w:type="dxa"/>
            <w:tcBorders>
              <w:top w:val="single" w:color="000000" w:sz="4" w:space="0"/>
              <w:left w:val="single" w:color="000000" w:sz="4" w:space="0"/>
              <w:bottom w:val="single" w:color="000000" w:sz="4" w:space="0"/>
              <w:right w:val="single" w:color="000000" w:sz="4" w:space="0"/>
            </w:tcBorders>
            <w:vAlign w:val="center"/>
          </w:tcPr>
          <w:p>
            <w:pPr>
              <w:pStyle w:val="3"/>
              <w:shd w:val="clea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供应商在其响应文件中提供该通知规定的《残疾人福利性单位声明函》，并对声明的真实性负责。（供应商如能够在线查询的材料，请提供查询网址链接，可以不用同时提供纸质材料，原件备查）</w:t>
            </w:r>
          </w:p>
          <w:p>
            <w:pPr>
              <w:pStyle w:val="16"/>
              <w:widowControl w:val="0"/>
              <w:shd w:val="clea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支持监狱企业</w:t>
            </w:r>
          </w:p>
          <w:p>
            <w:pPr>
              <w:shd w:val="clear"/>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发展政策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pStyle w:val="16"/>
              <w:widowControl w:val="0"/>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对其投标报价给予XX%的扣除，扣除后的价格为评标报价，即评标报价=投标报价×（1-15%）。监狱企业属于小型、微型企业的，不重复享受政策。</w:t>
            </w:r>
          </w:p>
        </w:tc>
        <w:tc>
          <w:tcPr>
            <w:tcW w:w="3355" w:type="dxa"/>
            <w:tcBorders>
              <w:top w:val="single" w:color="000000" w:sz="4" w:space="0"/>
              <w:left w:val="single" w:color="000000" w:sz="4" w:space="0"/>
              <w:bottom w:val="single" w:color="000000" w:sz="4" w:space="0"/>
              <w:right w:val="single" w:color="000000" w:sz="4" w:space="0"/>
            </w:tcBorders>
            <w:vAlign w:val="center"/>
          </w:tcPr>
          <w:p>
            <w:pPr>
              <w:pStyle w:val="16"/>
              <w:widowControl w:val="0"/>
              <w:shd w:val="clea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供应商在其响应文件中提供由省级以上监狱管理局、戒毒管理局（含新疆生产建设兵团）出具的属于监狱企业的证明文件</w:t>
            </w:r>
          </w:p>
        </w:tc>
      </w:tr>
    </w:tbl>
    <w:p>
      <w:pPr>
        <w:pStyle w:val="16"/>
        <w:widowControl w:val="0"/>
        <w:shd w:val="clear"/>
        <w:snapToGrid w:val="0"/>
        <w:spacing w:before="60" w:after="60" w:line="44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5.推荐成交供应商</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 按评审后得分由高到低顺序排列。得分相同的，按最终报价由低到高顺序排列。得分且最终报价相同的并列。</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 本采购包推荐成交候选人的数量：</w:t>
      </w:r>
      <w:r>
        <w:rPr>
          <w:rFonts w:hint="eastAsia" w:ascii="宋体" w:hAnsi="宋体" w:eastAsia="宋体" w:cs="宋体"/>
          <w:color w:val="000000" w:themeColor="text1"/>
          <w:szCs w:val="21"/>
          <w:highlight w:val="none"/>
          <w:u w:val="singl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家。</w:t>
      </w:r>
    </w:p>
    <w:p>
      <w:pPr>
        <w:widowControl/>
        <w:shd w:val="clear"/>
        <w:topLinePunct/>
        <w:adjustRightInd w:val="0"/>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 成交供应商数量：</w:t>
      </w:r>
      <w:r>
        <w:rPr>
          <w:rFonts w:hint="eastAsia" w:ascii="宋体" w:hAnsi="宋体" w:eastAsia="宋体" w:cs="宋体"/>
          <w:color w:val="000000" w:themeColor="text1"/>
          <w:szCs w:val="21"/>
          <w:highlight w:val="none"/>
          <w:u w:val="singl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家。</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成交供应商并列的，按照</w:t>
      </w:r>
      <w:r>
        <w:rPr>
          <w:rFonts w:hint="eastAsia" w:ascii="宋体" w:hAnsi="宋体" w:eastAsia="宋体" w:cs="宋体"/>
          <w:color w:val="000000" w:themeColor="text1"/>
          <w:szCs w:val="21"/>
          <w:highlight w:val="none"/>
          <w:u w:val="single"/>
          <w14:textFill>
            <w14:solidFill>
              <w14:schemeClr w14:val="tx1"/>
            </w14:solidFill>
          </w14:textFill>
        </w:rPr>
        <w:t>得分相同时，以最终报价由低到高顺序排列；得分相同且最终报价相同的，按技术指标优劣顺序排列</w:t>
      </w:r>
      <w:r>
        <w:rPr>
          <w:rFonts w:hint="eastAsia" w:ascii="宋体" w:hAnsi="宋体" w:eastAsia="宋体" w:cs="宋体"/>
          <w:color w:val="000000" w:themeColor="text1"/>
          <w:szCs w:val="21"/>
          <w:highlight w:val="none"/>
          <w14:textFill>
            <w14:solidFill>
              <w14:schemeClr w14:val="tx1"/>
            </w14:solidFill>
          </w14:textFill>
        </w:rPr>
        <w:t>的方式确定成交供应商。采购文件未规定的，采取随机抽取的方式确定。</w:t>
      </w:r>
    </w:p>
    <w:p>
      <w:pPr>
        <w:shd w:val="clear"/>
        <w:snapToGrid w:val="0"/>
        <w:spacing w:before="60" w:beforeAutospacing="0" w:after="6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sectPr>
          <w:pgSz w:w="11906" w:h="16838"/>
          <w:pgMar w:top="1440" w:right="1752" w:bottom="1440" w:left="1752" w:header="851" w:footer="992" w:gutter="0"/>
          <w:cols w:space="720" w:num="1"/>
          <w:titlePg/>
          <w:docGrid w:type="lines" w:linePitch="312" w:charSpace="0"/>
        </w:sectPr>
      </w:pPr>
    </w:p>
    <w:p>
      <w:pPr>
        <w:shd w:val="clear"/>
        <w:spacing w:before="0" w:beforeAutospacing="0" w:after="0" w:afterAutospacing="0" w:line="240" w:lineRule="auto"/>
        <w:jc w:val="center"/>
        <w:outlineLvl w:val="0"/>
        <w:rPr>
          <w:rFonts w:hint="eastAsia" w:ascii="宋体" w:hAnsi="宋体" w:eastAsia="宋体" w:cs="宋体"/>
          <w:color w:val="000000" w:themeColor="text1"/>
          <w:sz w:val="28"/>
          <w:szCs w:val="28"/>
          <w:highlight w:val="none"/>
          <w14:textFill>
            <w14:solidFill>
              <w14:schemeClr w14:val="tx1"/>
            </w14:solidFill>
          </w14:textFill>
        </w:rPr>
      </w:pPr>
      <w:bookmarkStart w:id="27" w:name="_Toc6284"/>
      <w:bookmarkStart w:id="28" w:name="_Toc28417"/>
      <w:r>
        <w:rPr>
          <w:rFonts w:hint="eastAsia" w:ascii="宋体" w:hAnsi="宋体" w:eastAsia="宋体" w:cs="宋体"/>
          <w:color w:val="000000" w:themeColor="text1"/>
          <w:sz w:val="28"/>
          <w:szCs w:val="28"/>
          <w:highlight w:val="none"/>
          <w14:textFill>
            <w14:solidFill>
              <w14:schemeClr w14:val="tx1"/>
            </w14:solidFill>
          </w14:textFill>
        </w:rPr>
        <w:t>第四章  采购合同文本</w:t>
      </w:r>
      <w:bookmarkEnd w:id="27"/>
      <w:bookmarkEnd w:id="28"/>
    </w:p>
    <w:p>
      <w:pPr>
        <w:shd w:val="clear"/>
        <w:spacing w:before="0" w:beforeAutospacing="0" w:after="0" w:afterAutospacing="0" w:line="360" w:lineRule="auto"/>
        <w:rPr>
          <w:rFonts w:hint="eastAsia" w:ascii="宋体" w:hAnsi="宋体" w:eastAsia="宋体" w:cs="宋体"/>
          <w:color w:val="000000" w:themeColor="text1"/>
          <w:sz w:val="24"/>
          <w:szCs w:val="24"/>
          <w:highlight w:val="none"/>
          <w14:textFill>
            <w14:solidFill>
              <w14:schemeClr w14:val="tx1"/>
            </w14:solidFill>
          </w14:textFill>
        </w:rPr>
      </w:pPr>
    </w:p>
    <w:p>
      <w:pPr>
        <w:shd w:val="clear"/>
        <w:spacing w:before="0" w:beforeAutospacing="0" w:after="0" w:afterAutospacing="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（合同封面）                             中小企业预留合同：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否 </w:t>
      </w:r>
    </w:p>
    <w:p>
      <w:pPr>
        <w:shd w:val="clear"/>
        <w:spacing w:before="0" w:beforeAutospacing="0" w:after="0" w:afterAutospacing="0" w:line="360" w:lineRule="auto"/>
        <w:ind w:firstLine="5040" w:firstLineChars="21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同 类 别：服务类</w:t>
      </w:r>
    </w:p>
    <w:p>
      <w:pPr>
        <w:shd w:val="clear"/>
        <w:spacing w:before="0" w:beforeAutospacing="0" w:after="0" w:afterAutospacing="0" w:line="240" w:lineRule="auto"/>
        <w:jc w:val="center"/>
        <w:rPr>
          <w:rFonts w:hint="eastAsia" w:ascii="宋体" w:hAnsi="宋体" w:eastAsia="宋体" w:cs="宋体"/>
          <w:b/>
          <w:color w:val="000000" w:themeColor="text1"/>
          <w:sz w:val="96"/>
          <w:szCs w:val="96"/>
          <w:highlight w:val="none"/>
          <w14:textFill>
            <w14:solidFill>
              <w14:schemeClr w14:val="tx1"/>
            </w14:solidFill>
          </w14:textFill>
        </w:rPr>
      </w:pPr>
    </w:p>
    <w:p>
      <w:pPr>
        <w:shd w:val="clear"/>
        <w:spacing w:before="0" w:beforeAutospacing="0" w:after="0" w:afterAutospacing="0" w:line="240" w:lineRule="auto"/>
        <w:jc w:val="center"/>
        <w:rPr>
          <w:rFonts w:hint="eastAsia" w:ascii="宋体" w:hAnsi="宋体" w:eastAsia="宋体" w:cs="宋体"/>
          <w:b/>
          <w:color w:val="000000" w:themeColor="text1"/>
          <w:sz w:val="96"/>
          <w:szCs w:val="96"/>
          <w:highlight w:val="none"/>
          <w14:textFill>
            <w14:solidFill>
              <w14:schemeClr w14:val="tx1"/>
            </w14:solidFill>
          </w14:textFill>
        </w:rPr>
      </w:pPr>
    </w:p>
    <w:p>
      <w:pPr>
        <w:shd w:val="clear"/>
        <w:spacing w:before="0" w:beforeAutospacing="0" w:after="0" w:afterAutospacing="0" w:line="24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合 同 书</w:t>
      </w:r>
    </w:p>
    <w:p>
      <w:pPr>
        <w:shd w:val="clear"/>
        <w:spacing w:before="0" w:beforeAutospacing="0" w:after="0" w:afterAutospacing="0" w:line="24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pPr>
        <w:shd w:val="clear"/>
        <w:tabs>
          <w:tab w:val="left" w:pos="540"/>
          <w:tab w:val="left" w:pos="1080"/>
          <w:tab w:val="left" w:pos="1440"/>
        </w:tabs>
        <w:snapToGrid w:val="0"/>
        <w:spacing w:before="0" w:beforeAutospacing="0" w:after="0" w:afterAutospacing="0"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（年度</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w:t>
      </w:r>
    </w:p>
    <w:p>
      <w:pPr>
        <w:shd w:val="clear"/>
        <w:tabs>
          <w:tab w:val="left" w:pos="540"/>
          <w:tab w:val="left" w:pos="1080"/>
          <w:tab w:val="left" w:pos="1440"/>
        </w:tabs>
        <w:snapToGrid w:val="0"/>
        <w:spacing w:before="0" w:beforeAutospacing="0" w:after="0" w:afterAutospacing="0"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shd w:val="clear"/>
        <w:tabs>
          <w:tab w:val="left" w:pos="540"/>
          <w:tab w:val="left" w:pos="1080"/>
          <w:tab w:val="left" w:pos="1440"/>
        </w:tabs>
        <w:snapToGrid w:val="0"/>
        <w:spacing w:before="0" w:beforeAutospacing="0" w:after="0" w:afterAutospacing="0"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shd w:val="clear"/>
        <w:tabs>
          <w:tab w:val="left" w:pos="540"/>
          <w:tab w:val="left" w:pos="1080"/>
          <w:tab w:val="left" w:pos="1440"/>
        </w:tabs>
        <w:snapToGrid w:val="0"/>
        <w:spacing w:before="0" w:beforeAutospacing="0" w:after="0" w:afterAutospacing="0" w:line="240" w:lineRule="auto"/>
        <w:ind w:left="1680" w:leftChars="800"/>
        <w:jc w:val="center"/>
        <w:rPr>
          <w:rFonts w:hint="eastAsia" w:ascii="宋体" w:hAnsi="宋体" w:eastAsia="宋体" w:cs="宋体"/>
          <w:color w:val="000000" w:themeColor="text1"/>
          <w:sz w:val="32"/>
          <w:szCs w:val="32"/>
          <w:highlight w:val="none"/>
          <w14:textFill>
            <w14:solidFill>
              <w14:schemeClr w14:val="tx1"/>
            </w14:solidFill>
          </w14:textFill>
        </w:rPr>
      </w:pPr>
    </w:p>
    <w:p>
      <w:pPr>
        <w:shd w:val="clear"/>
        <w:tabs>
          <w:tab w:val="left" w:pos="2160"/>
        </w:tabs>
        <w:topLinePunct/>
        <w:autoSpaceDE w:val="0"/>
        <w:autoSpaceDN w:val="0"/>
        <w:snapToGrid w:val="0"/>
        <w:spacing w:before="0" w:beforeAutospacing="0" w:after="0" w:afterAutospacing="0" w:line="360" w:lineRule="auto"/>
        <w:ind w:left="2100" w:leftChars="1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hd w:val="clear"/>
        <w:tabs>
          <w:tab w:val="left" w:pos="2160"/>
        </w:tabs>
        <w:topLinePunct/>
        <w:autoSpaceDE w:val="0"/>
        <w:autoSpaceDN w:val="0"/>
        <w:snapToGrid w:val="0"/>
        <w:spacing w:before="0" w:beforeAutospacing="0" w:after="0" w:afterAutospacing="0" w:line="360" w:lineRule="auto"/>
        <w:ind w:left="2100" w:leftChars="1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包    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hd w:val="clear"/>
        <w:tabs>
          <w:tab w:val="left" w:pos="540"/>
          <w:tab w:val="left" w:pos="1080"/>
          <w:tab w:val="left" w:pos="1440"/>
        </w:tabs>
        <w:snapToGrid w:val="0"/>
        <w:spacing w:before="0" w:beforeAutospacing="0" w:after="0" w:afterAutospacing="0" w:line="360" w:lineRule="auto"/>
        <w:ind w:left="2100" w:leftChars="1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hd w:val="clear"/>
        <w:tabs>
          <w:tab w:val="left" w:pos="2160"/>
        </w:tabs>
        <w:topLinePunct/>
        <w:autoSpaceDE w:val="0"/>
        <w:autoSpaceDN w:val="0"/>
        <w:snapToGrid w:val="0"/>
        <w:spacing w:before="0" w:beforeAutospacing="0" w:after="0" w:afterAutospacing="0" w:line="360" w:lineRule="auto"/>
        <w:ind w:left="2880" w:leftChars="800" w:hanging="1200" w:hangingChars="500"/>
        <w:rPr>
          <w:rFonts w:hint="eastAsia" w:ascii="宋体" w:hAnsi="宋体" w:eastAsia="宋体" w:cs="宋体"/>
          <w:bCs/>
          <w:color w:val="000000" w:themeColor="text1"/>
          <w:sz w:val="24"/>
          <w:szCs w:val="24"/>
          <w:highlight w:val="none"/>
          <w14:textFill>
            <w14:solidFill>
              <w14:schemeClr w14:val="tx1"/>
            </w14:solidFill>
          </w14:textFill>
        </w:rPr>
      </w:pPr>
    </w:p>
    <w:p>
      <w:pPr>
        <w:shd w:val="clear"/>
        <w:spacing w:before="0" w:beforeAutospacing="0" w:after="0" w:afterAutospacing="0" w:line="4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shd w:val="clear"/>
        <w:tabs>
          <w:tab w:val="left" w:pos="3045"/>
        </w:tabs>
        <w:spacing w:before="0" w:beforeAutospacing="0" w:after="0" w:afterAutospacing="0" w:line="4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ab/>
      </w:r>
    </w:p>
    <w:p>
      <w:pPr>
        <w:shd w:val="clear"/>
        <w:spacing w:before="0" w:beforeAutospacing="0" w:after="0" w:afterAutospacing="0" w:line="460" w:lineRule="exact"/>
        <w:rPr>
          <w:rFonts w:hint="eastAsia" w:ascii="宋体" w:hAnsi="宋体" w:eastAsia="宋体" w:cs="宋体"/>
          <w:bCs/>
          <w:color w:val="000000" w:themeColor="text1"/>
          <w:sz w:val="24"/>
          <w:szCs w:val="24"/>
          <w:highlight w:val="none"/>
          <w14:textFill>
            <w14:solidFill>
              <w14:schemeClr w14:val="tx1"/>
            </w14:solidFill>
          </w14:textFill>
        </w:rPr>
      </w:pPr>
    </w:p>
    <w:p>
      <w:pPr>
        <w:shd w:val="clear"/>
        <w:spacing w:before="0" w:beforeAutospacing="0" w:after="0" w:afterAutospacing="0" w:line="4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shd w:val="clear"/>
        <w:spacing w:before="0" w:beforeAutospacing="0" w:after="0" w:afterAutospacing="0" w:line="300" w:lineRule="auto"/>
        <w:ind w:left="840" w:leftChars="400" w:firstLine="1298" w:firstLineChars="54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甲    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hd w:val="clear"/>
        <w:spacing w:before="0" w:beforeAutospacing="0" w:after="0" w:afterAutospacing="0" w:line="300" w:lineRule="auto"/>
        <w:ind w:left="840" w:leftChars="400" w:firstLine="1298" w:firstLineChars="541"/>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乙    方：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hd w:val="clear"/>
        <w:spacing w:before="0" w:beforeAutospacing="0" w:after="0" w:afterAutospacing="0" w:line="300" w:lineRule="auto"/>
        <w:ind w:left="840" w:leftChars="400" w:firstLine="1298" w:firstLineChars="541"/>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日    期：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年    月   日</w:t>
      </w:r>
    </w:p>
    <w:p>
      <w:pPr>
        <w:shd w:val="clear"/>
        <w:spacing w:before="0" w:beforeAutospacing="0" w:after="0" w:afterAutospacing="0" w:line="30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highlight w:val="none"/>
          <w:u w:val="singl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合同条款前附表</w:t>
      </w:r>
    </w:p>
    <w:tbl>
      <w:tblPr>
        <w:tblStyle w:val="7"/>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8173" w:type="dxa"/>
            <w:gridSpan w:val="3"/>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合同名称</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合同编号</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2160"/>
              </w:tabs>
              <w:topLinePunct/>
              <w:autoSpaceDE w:val="0"/>
              <w:autoSpaceDN w:val="0"/>
              <w:adjustRightInd w:val="0"/>
              <w:snapToGrid w:val="0"/>
              <w:spacing w:before="0" w:beforeAutospacing="0" w:after="0" w:afterAutospacing="0" w:line="440" w:lineRule="exact"/>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合同类型</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2160"/>
              </w:tabs>
              <w:topLinePunct/>
              <w:autoSpaceDE w:val="0"/>
              <w:autoSpaceDN w:val="0"/>
              <w:adjustRightInd w:val="0"/>
              <w:snapToGrid w:val="0"/>
              <w:spacing w:before="0" w:beforeAutospacing="0" w:after="0" w:afterAutospacing="0" w:line="440" w:lineRule="exact"/>
              <w:rPr>
                <w:rFonts w:hint="eastAsia"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定价方式</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2160"/>
              </w:tabs>
              <w:topLinePunct/>
              <w:autoSpaceDE w:val="0"/>
              <w:autoSpaceDN w:val="0"/>
              <w:adjustRightInd w:val="0"/>
              <w:snapToGrid w:val="0"/>
              <w:spacing w:before="0" w:beforeAutospacing="0" w:after="0" w:afterAutospacing="0" w:line="440" w:lineRule="exact"/>
              <w:rPr>
                <w:rFonts w:hint="eastAsia"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甲方名称</w:t>
            </w:r>
          </w:p>
        </w:tc>
        <w:tc>
          <w:tcPr>
            <w:tcW w:w="6264" w:type="dxa"/>
            <w:tcBorders>
              <w:top w:val="single" w:color="auto" w:sz="4" w:space="0"/>
              <w:left w:val="single" w:color="auto" w:sz="6" w:space="0"/>
              <w:bottom w:val="single" w:color="auto" w:sz="6"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甲方地址</w:t>
            </w:r>
          </w:p>
        </w:tc>
        <w:tc>
          <w:tcPr>
            <w:tcW w:w="6264" w:type="dxa"/>
            <w:tcBorders>
              <w:top w:val="single" w:color="auto" w:sz="6" w:space="0"/>
              <w:left w:val="single" w:color="auto" w:sz="6" w:space="0"/>
              <w:bottom w:val="single" w:color="auto" w:sz="6"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409" w:type="dxa"/>
            <w:vMerge w:val="restart"/>
            <w:tcBorders>
              <w:top w:val="single" w:color="auto" w:sz="6" w:space="0"/>
              <w:left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甲方采购部门</w:t>
            </w:r>
          </w:p>
        </w:tc>
        <w:tc>
          <w:tcPr>
            <w:tcW w:w="6264" w:type="dxa"/>
            <w:tcBorders>
              <w:top w:val="single" w:color="auto" w:sz="6" w:space="0"/>
              <w:left w:val="single" w:color="auto" w:sz="6" w:space="0"/>
              <w:bottom w:val="single" w:color="auto" w:sz="6"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00" w:type="dxa"/>
            <w:tcBorders>
              <w:top w:val="single" w:color="auto" w:sz="6" w:space="0"/>
              <w:left w:val="single" w:color="auto" w:sz="4" w:space="0"/>
              <w:bottom w:val="single" w:color="auto" w:sz="6"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6264" w:type="dxa"/>
            <w:tcBorders>
              <w:top w:val="single" w:color="auto" w:sz="6" w:space="0"/>
              <w:left w:val="single" w:color="auto" w:sz="6" w:space="0"/>
              <w:bottom w:val="single" w:color="auto" w:sz="6"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00" w:type="dxa"/>
            <w:tcBorders>
              <w:top w:val="single" w:color="auto" w:sz="6" w:space="0"/>
              <w:left w:val="single" w:color="auto" w:sz="4" w:space="0"/>
              <w:bottom w:val="single" w:color="auto" w:sz="4"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6264" w:type="dxa"/>
            <w:tcBorders>
              <w:top w:val="single" w:color="auto" w:sz="6" w:space="0"/>
              <w:left w:val="single" w:color="auto" w:sz="6"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00" w:type="dxa"/>
            <w:tcBorders>
              <w:top w:val="single" w:color="auto" w:sz="6" w:space="0"/>
              <w:left w:val="single" w:color="auto" w:sz="4" w:space="0"/>
              <w:bottom w:val="single" w:color="auto" w:sz="4"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甲方需求部门</w:t>
            </w:r>
          </w:p>
        </w:tc>
        <w:tc>
          <w:tcPr>
            <w:tcW w:w="6264" w:type="dxa"/>
            <w:tcBorders>
              <w:top w:val="single" w:color="auto" w:sz="6" w:space="0"/>
              <w:left w:val="single" w:color="auto" w:sz="6"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00" w:type="dxa"/>
            <w:tcBorders>
              <w:top w:val="single" w:color="auto" w:sz="6" w:space="0"/>
              <w:left w:val="single" w:color="auto" w:sz="4" w:space="0"/>
              <w:bottom w:val="single" w:color="auto" w:sz="4"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6264" w:type="dxa"/>
            <w:tcBorders>
              <w:top w:val="single" w:color="auto" w:sz="6" w:space="0"/>
              <w:left w:val="single" w:color="auto" w:sz="6"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409" w:type="dxa"/>
            <w:vMerge w:val="continue"/>
            <w:tcBorders>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00" w:type="dxa"/>
            <w:tcBorders>
              <w:top w:val="single" w:color="auto" w:sz="6" w:space="0"/>
              <w:left w:val="single" w:color="auto" w:sz="4" w:space="0"/>
              <w:bottom w:val="single" w:color="auto" w:sz="4" w:space="0"/>
              <w:right w:val="single" w:color="auto" w:sz="6"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6264" w:type="dxa"/>
            <w:tcBorders>
              <w:top w:val="single" w:color="auto" w:sz="6" w:space="0"/>
              <w:left w:val="single" w:color="auto" w:sz="6"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乙方名称</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乙方企业性质</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中型企业     □ 小型企业            □ 微型企业    </w:t>
            </w:r>
          </w:p>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监狱企业     □ 残疾人福利性单位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乙方地址</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乙方联系人</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合同金额</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元整（¥</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下浮系数：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服务内容</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本合同服务内容为：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合同付款</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履约保证金及返还</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☑本项目不要求提供履约保证金。</w:t>
            </w:r>
          </w:p>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□本项目要求提供履约保证金。履约保证金为合同总金额的</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%，即人民币</w:t>
            </w:r>
            <w:r>
              <w:rPr>
                <w:rFonts w:hint="eastAsia" w:ascii="宋体" w:hAnsi="宋体" w:eastAsia="宋体" w:cs="宋体"/>
                <w:color w:val="000000" w:themeColor="text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Cs w:val="21"/>
                <w:highlight w:val="none"/>
                <w:lang w:val="en"/>
                <w14:textFill>
                  <w14:solidFill>
                    <w14:schemeClr w14:val="tx1"/>
                  </w14:solidFill>
                </w14:textFill>
              </w:rPr>
              <w:t>元</w:t>
            </w:r>
            <w:r>
              <w:rPr>
                <w:rFonts w:hint="eastAsia" w:ascii="宋体" w:hAnsi="宋体" w:eastAsia="宋体" w:cs="宋体"/>
                <w:color w:val="000000" w:themeColor="text1"/>
                <w:szCs w:val="21"/>
                <w:highlight w:val="none"/>
                <w14:textFill>
                  <w14:solidFill>
                    <w14:schemeClr w14:val="tx1"/>
                  </w14:solidFill>
                </w14:textFill>
              </w:rPr>
              <w:t>整（¥</w:t>
            </w:r>
            <w:r>
              <w:rPr>
                <w:rFonts w:hint="eastAsia" w:ascii="宋体" w:hAnsi="宋体" w:eastAsia="宋体" w:cs="宋体"/>
                <w:color w:val="000000" w:themeColor="text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shd w:val="clear"/>
              <w:tabs>
                <w:tab w:val="left" w:pos="700"/>
              </w:tabs>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合同期满，乙方应提供履约保证金返还申请（格式另附）、合同或合同关键页复印件、合同约定的其他资料，涉及验收的，应同时提交甲方需求部门出具的项目终验意见或质量保证期（合同履约期）满验收意见。</w:t>
            </w:r>
          </w:p>
          <w:p>
            <w:pPr>
              <w:shd w:val="clear"/>
              <w:tabs>
                <w:tab w:val="left" w:pos="700"/>
              </w:tabs>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满足履约保证金返还条件且双方对核实结果无异议的，自完成核实之日起 30 日内，甲方根据项目验收意见扣除应扣除的款项（如有）后，原路无息返还履约保证金。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合同履行期限</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服务时间、履行期：具体时间自签订合同之日起至2028年</w:t>
            </w:r>
            <w:r>
              <w:rPr>
                <w:rFonts w:hint="eastAsia" w:ascii="宋体" w:hAnsi="宋体" w:cs="宋体"/>
                <w:color w:val="000000" w:themeColor="text1"/>
                <w:szCs w:val="21"/>
                <w:highlight w:val="none"/>
                <w:lang w:eastAsia="zh-CN"/>
                <w14:textFill>
                  <w14:solidFill>
                    <w14:schemeClr w14:val="tx1"/>
                  </w14:solidFill>
                </w14:textFill>
              </w:rPr>
              <w:t>7月31日</w:t>
            </w:r>
            <w:r>
              <w:rPr>
                <w:rFonts w:hint="eastAsia" w:ascii="宋体" w:hAnsi="宋体" w:eastAsia="宋体" w:cs="宋体"/>
                <w:color w:val="000000" w:themeColor="text1"/>
                <w:szCs w:val="21"/>
                <w:highlight w:val="none"/>
                <w14:textFill>
                  <w14:solidFill>
                    <w14:schemeClr w14:val="tx1"/>
                  </w14:solidFill>
                </w14:textFill>
              </w:rPr>
              <w:t>期间，即自合同生效之日起至合同全部权利义务履行完毕之日止。</w:t>
            </w:r>
          </w:p>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lang w:val="e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自签订合同之日起至2028年</w:t>
            </w:r>
            <w:r>
              <w:rPr>
                <w:rFonts w:hint="eastAsia" w:ascii="宋体" w:hAnsi="宋体" w:cs="宋体"/>
                <w:color w:val="000000" w:themeColor="text1"/>
                <w:szCs w:val="21"/>
                <w:highlight w:val="none"/>
                <w:lang w:eastAsia="zh-CN"/>
                <w14:textFill>
                  <w14:solidFill>
                    <w14:schemeClr w14:val="tx1"/>
                  </w14:solidFill>
                </w14:textFill>
              </w:rPr>
              <w:t>7月31日</w:t>
            </w:r>
            <w:r>
              <w:rPr>
                <w:rFonts w:hint="eastAsia" w:ascii="宋体" w:hAnsi="宋体" w:eastAsia="宋体" w:cs="宋体"/>
                <w:color w:val="000000" w:themeColor="text1"/>
                <w:szCs w:val="21"/>
                <w:highlight w:val="none"/>
                <w14:textFill>
                  <w14:solidFill>
                    <w14:schemeClr w14:val="tx1"/>
                  </w14:solidFill>
                </w14:textFill>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合同履约地点</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柳州市及抵税财物所在地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合同纠纷解决方式</w:t>
            </w:r>
          </w:p>
        </w:tc>
        <w:tc>
          <w:tcPr>
            <w:tcW w:w="6264" w:type="dxa"/>
            <w:tcBorders>
              <w:top w:val="single" w:color="auto" w:sz="4" w:space="0"/>
              <w:left w:val="single" w:color="auto" w:sz="4" w:space="0"/>
              <w:bottom w:val="single" w:color="auto" w:sz="4" w:space="0"/>
              <w:right w:val="single" w:color="auto" w:sz="4" w:space="0"/>
            </w:tcBorders>
            <w:vAlign w:val="center"/>
          </w:tcPr>
          <w:p>
            <w:pPr>
              <w:shd w:val="clear"/>
              <w:tabs>
                <w:tab w:val="left" w:pos="700"/>
              </w:tabs>
              <w:adjustRightInd w:val="0"/>
              <w:snapToGrid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甲乙双方应首先通过友好协商解决在执行本合同中所发生的或与本合同有关的一切争端。如从协商开始</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天内仍不能解决，可以选择以下途径之一解决纠纷：</w:t>
            </w:r>
          </w:p>
          <w:p>
            <w:pPr>
              <w:shd w:val="clear"/>
              <w:tabs>
                <w:tab w:val="left" w:pos="700"/>
              </w:tabs>
              <w:adjustRightInd w:val="0"/>
              <w:snapToGrid w:val="0"/>
              <w:spacing w:beforeAutospacing="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□向甲方所在地仲裁委员会申请仲裁</w:t>
            </w:r>
          </w:p>
          <w:p>
            <w:pPr>
              <w:shd w:val="clear"/>
              <w:tabs>
                <w:tab w:val="left" w:pos="700"/>
              </w:tabs>
              <w:adjustRightInd w:val="0"/>
              <w:snapToGrid w:val="0"/>
              <w:spacing w:beforeAutospacing="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☑向甲方所在地人民法院提起诉讼</w:t>
            </w:r>
          </w:p>
        </w:tc>
      </w:tr>
    </w:tbl>
    <w:p>
      <w:pPr>
        <w:shd w:val="clear"/>
        <w:tabs>
          <w:tab w:val="left" w:pos="700"/>
        </w:tabs>
        <w:topLinePunct/>
        <w:autoSpaceDE w:val="0"/>
        <w:autoSpaceDN w:val="0"/>
        <w:spacing w:before="0" w:beforeAutospacing="0" w:after="0" w:afterAutospacing="0" w:line="46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tabs>
          <w:tab w:val="left" w:pos="0"/>
        </w:tabs>
        <w:topLinePunct/>
        <w:autoSpaceDE w:val="0"/>
        <w:autoSpaceDN w:val="0"/>
        <w:spacing w:before="0" w:beforeAutospacing="0" w:after="0" w:afterAutospacing="0"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   合  同 </w:t>
      </w:r>
    </w:p>
    <w:p>
      <w:pPr>
        <w:shd w:val="clear"/>
        <w:tabs>
          <w:tab w:val="left" w:pos="540"/>
        </w:tabs>
        <w:topLinePunct/>
        <w:autoSpaceDE w:val="0"/>
        <w:autoSpaceDN w:val="0"/>
        <w:spacing w:before="0" w:beforeAutospacing="0" w:after="0" w:afterAutospacing="0" w:line="460" w:lineRule="exact"/>
        <w:rPr>
          <w:rFonts w:hint="eastAsia" w:ascii="宋体" w:hAnsi="宋体" w:eastAsia="宋体" w:cs="宋体"/>
          <w:b/>
          <w:color w:val="000000" w:themeColor="text1"/>
          <w:sz w:val="24"/>
          <w:highlight w:val="none"/>
          <w14:textFill>
            <w14:solidFill>
              <w14:schemeClr w14:val="tx1"/>
            </w14:solidFill>
          </w14:textFill>
        </w:rPr>
      </w:pP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国家税务总局柳州市城中区税务局（以下简称“甲方”）通过</w:t>
      </w:r>
      <w:r>
        <w:rPr>
          <w:rFonts w:hint="eastAsia" w:ascii="宋体" w:hAnsi="宋体" w:eastAsia="宋体" w:cs="宋体"/>
          <w:color w:val="000000" w:themeColor="text1"/>
          <w:szCs w:val="21"/>
          <w:highlight w:val="none"/>
          <w:u w:val="single"/>
          <w14:textFill>
            <w14:solidFill>
              <w14:schemeClr w14:val="tx1"/>
            </w14:solidFill>
          </w14:textFill>
        </w:rPr>
        <w:t>磋商方式</w:t>
      </w:r>
      <w:r>
        <w:rPr>
          <w:rFonts w:hint="eastAsia" w:ascii="宋体" w:hAnsi="宋体" w:eastAsia="宋体" w:cs="宋体"/>
          <w:color w:val="000000" w:themeColor="text1"/>
          <w:szCs w:val="21"/>
          <w:highlight w:val="none"/>
          <w14:textFill>
            <w14:solidFill>
              <w14:schemeClr w14:val="tx1"/>
            </w14:solidFill>
          </w14:textFill>
        </w:rPr>
        <w:t>采购，确定</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公司（以下简称“乙方”）为《国家税务总局柳州市城中区税务局拍卖服务机构采购》成交供应商。甲乙双方同意按照该项目采购文件约定的内容，签署《国家税务总局柳州市城中区税务局拍卖服务机构采购合同书》（合同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，以下简称“合同”）。</w:t>
      </w:r>
    </w:p>
    <w:p>
      <w:pPr>
        <w:shd w:val="clear"/>
        <w:topLinePunct/>
        <w:autoSpaceDE w:val="0"/>
        <w:autoSpaceDN w:val="0"/>
        <w:snapToGrid w:val="0"/>
        <w:spacing w:line="360" w:lineRule="auto"/>
        <w:ind w:left="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合同文件</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本合同所附下列文件是构成本合同不可分割的部分：</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（1）合同通用条款；</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（2）报价表（总报价表和分项报价表）；</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（3）采购文件；</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w:t>
      </w:r>
    </w:p>
    <w:p>
      <w:pPr>
        <w:shd w:val="clear"/>
        <w:topLinePunct/>
        <w:autoSpaceDE w:val="0"/>
        <w:autoSpaceDN w:val="0"/>
        <w:snapToGrid w:val="0"/>
        <w:spacing w:line="360" w:lineRule="auto"/>
        <w:ind w:left="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 合同范围和条件</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本合同的范围和条件应与上述合同文件的规定相一致。</w:t>
      </w:r>
    </w:p>
    <w:p>
      <w:pPr>
        <w:shd w:val="clear"/>
        <w:tabs>
          <w:tab w:val="left" w:pos="700"/>
        </w:tabs>
        <w:topLinePunct/>
        <w:autoSpaceDE w:val="0"/>
        <w:autoSpaceDN w:val="0"/>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 合同金额</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本合同总金额为人民币</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元整（¥</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下浮系数：   %</w:t>
      </w:r>
    </w:p>
    <w:p>
      <w:pPr>
        <w:shd w:val="clear"/>
        <w:tabs>
          <w:tab w:val="left" w:pos="700"/>
        </w:tabs>
        <w:topLinePunct/>
        <w:autoSpaceDE w:val="0"/>
        <w:autoSpaceDN w:val="0"/>
        <w:snapToGrid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付款条件</w:t>
      </w:r>
    </w:p>
    <w:p>
      <w:pPr>
        <w:shd w:val="clear"/>
        <w:tabs>
          <w:tab w:val="left" w:pos="700"/>
        </w:tabs>
        <w:topLinePunct/>
        <w:autoSpaceDE w:val="0"/>
        <w:autoSpaceDN w:val="0"/>
        <w:snapToGrid w:val="0"/>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内，拍卖机构可按（1-下浮系数）×标准收费向被执行人收取相应佣金。具体佣金收取不超过成交供应商在响应文件上的承诺佣金标准；拍卖成交的，拍卖佣金由成交供应商向被执行人收取，采购人不向成交供应商支付拍卖佣金。</w:t>
      </w:r>
    </w:p>
    <w:p>
      <w:pPr>
        <w:shd w:val="clear"/>
        <w:topLinePunct/>
        <w:autoSpaceDE w:val="0"/>
        <w:autoSpaceDN w:val="0"/>
        <w:snapToGrid w:val="0"/>
        <w:spacing w:line="360" w:lineRule="auto"/>
        <w:ind w:left="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 合同签订及生效</w:t>
      </w:r>
    </w:p>
    <w:p>
      <w:pPr>
        <w:pStyle w:val="17"/>
        <w:shd w:val="clear"/>
        <w:tabs>
          <w:tab w:val="left" w:pos="840"/>
        </w:tabs>
        <w:snapToGrid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本合同一式</w:t>
      </w:r>
      <w:r>
        <w:rPr>
          <w:rFonts w:hint="eastAsia" w:ascii="宋体" w:hAnsi="宋体" w:eastAsia="宋体" w:cs="宋体"/>
          <w:color w:val="000000" w:themeColor="text1"/>
          <w:sz w:val="21"/>
          <w:szCs w:val="21"/>
          <w:highlight w:val="none"/>
          <w:lang w:val="e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份，由甲乙双方法定代表人或被授权人签字并盖章后生效。</w:t>
      </w:r>
    </w:p>
    <w:p>
      <w:pPr>
        <w:pStyle w:val="17"/>
        <w:shd w:val="clear"/>
        <w:tabs>
          <w:tab w:val="left" w:pos="84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乙方由法定代表人签订合同的，应提供法定代表人身份证复印件；乙方由被授权人签订合同的，应提供授权委托书和法定代表人及被授权人身份证复印件。</w:t>
      </w:r>
    </w:p>
    <w:p>
      <w:pPr>
        <w:shd w:val="clear"/>
        <w:tabs>
          <w:tab w:val="left" w:pos="700"/>
        </w:tabs>
        <w:topLinePunct/>
        <w:autoSpaceDE w:val="0"/>
        <w:autoSpaceDN w:val="0"/>
        <w:spacing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甲方：国家税务总局柳州市城中区税务局        乙方：</w:t>
      </w:r>
    </w:p>
    <w:p>
      <w:pPr>
        <w:shd w:val="clear"/>
        <w:tabs>
          <w:tab w:val="left" w:pos="700"/>
        </w:tabs>
        <w:topLinePunct/>
        <w:autoSpaceDE w:val="0"/>
        <w:autoSpaceDN w:val="0"/>
        <w:spacing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签字：                                      签字：</w:t>
      </w:r>
    </w:p>
    <w:p>
      <w:pPr>
        <w:shd w:val="clear"/>
        <w:tabs>
          <w:tab w:val="left" w:pos="700"/>
        </w:tabs>
        <w:topLinePunct/>
        <w:autoSpaceDE w:val="0"/>
        <w:autoSpaceDN w:val="0"/>
        <w:spacing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盖章：                                      盖章： </w:t>
      </w:r>
    </w:p>
    <w:p>
      <w:pPr>
        <w:shd w:val="clear"/>
        <w:tabs>
          <w:tab w:val="left" w:pos="700"/>
        </w:tabs>
        <w:topLinePunct/>
        <w:autoSpaceDE w:val="0"/>
        <w:autoSpaceDN w:val="0"/>
        <w:spacing w:before="0" w:beforeAutospacing="0" w:after="0" w:afterAutospacing="0"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                    日期：     年   月   日</w:t>
      </w:r>
    </w:p>
    <w:p>
      <w:pPr>
        <w:shd w:val="clear"/>
        <w:topLinePunct/>
        <w:autoSpaceDE w:val="0"/>
        <w:autoSpaceDN w:val="0"/>
        <w:spacing w:before="0" w:beforeAutospacing="0" w:after="0" w:afterAutospacing="0"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二  合 同 通 用 条 款</w:t>
      </w:r>
    </w:p>
    <w:p>
      <w:pPr>
        <w:shd w:val="clear"/>
        <w:topLinePunct/>
        <w:autoSpaceDE w:val="0"/>
        <w:autoSpaceDN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1.定义</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本合同下列术语应解释为：</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“甲方”是指国家税务总局柳州市城中区税务局。</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1.1.1 “甲方采购部门”见“合同条款前附表”第5项“甲方采购部门”。</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 “甲方需求部门”见“合同条款前附表”第5项“甲方需求部门”。</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 “乙方”见“合同条款前附表”第6项“乙方名称”。</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 “合同”系指甲乙双方签订的、合同格式中载明的甲乙双方所达成的协议，包括所有的附件、附录和上述文件所提到的构成合同的所有文件。</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 “天”除非特别指出，“天”均为自然天。</w:t>
      </w:r>
    </w:p>
    <w:p>
      <w:pPr>
        <w:shd w:val="clear"/>
        <w:topLinePunct/>
        <w:autoSpaceDE w:val="0"/>
        <w:autoSpaceDN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2.标准</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乙方为甲方交付或提供的服务应符合采购文件所述的标准，如果没有提及适用标准，则应符合相应的国家标准。这些标准必须是有关机构发布的最新版本的标准。</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除非技术要求中另有规定，计量单位均采用中华人民共和国法定计量单位。</w:t>
      </w: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 服务</w:t>
      </w:r>
    </w:p>
    <w:p>
      <w:pPr>
        <w:shd w:val="clear"/>
        <w:tabs>
          <w:tab w:val="left" w:pos="700"/>
        </w:tabs>
        <w:spacing w:before="0" w:beforeAutospacing="0" w:after="0" w:afterAutospacing="0"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 本项目的“服务”见“合同条款前附表”第8项“服务内容”。</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 乙方应保证所提供的服务符合合同规定的技术要求。如不符时，乙方应负全责并尽快处理解决，由此造成的损失和相关费用由乙方负责，甲方保留终止合同及索赔的权利。</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 乙方应保证通过执行合同中全部方案后，可以取得本合同约定的结果，达到本合同约定的预期目标。对任何情况下出现的问题，应尽快提出解决方案。</w:t>
      </w:r>
    </w:p>
    <w:p>
      <w:pPr>
        <w:shd w:val="clear"/>
        <w:tabs>
          <w:tab w:val="left" w:pos="0"/>
          <w:tab w:val="left" w:pos="54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 如果乙方提供的服务和解决方案不符合甲方要求，或在规定的时间内没有弥补缺陷，甲方有权采取一切必要的补救措施，由此产生的费用全部由乙方负责。</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 除合同条款另行规定外，伴随服务的费用应含在合同价中，不单独进行支付。</w:t>
      </w:r>
    </w:p>
    <w:p>
      <w:pPr>
        <w:shd w:val="clear"/>
        <w:tabs>
          <w:tab w:val="left" w:pos="0"/>
          <w:tab w:val="left" w:pos="540"/>
        </w:tabs>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 知识产权</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 乙方应保证所提供的服务免受第三方提出侵犯其知识产权（专利权、商标权、软件著作权、版权等）的起诉。</w:t>
      </w:r>
    </w:p>
    <w:p>
      <w:pPr>
        <w:shd w:val="clear"/>
        <w:tabs>
          <w:tab w:val="left" w:pos="0"/>
          <w:tab w:val="left" w:pos="540"/>
        </w:tabs>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shd w:val="clear"/>
        <w:tabs>
          <w:tab w:val="left" w:pos="0"/>
          <w:tab w:val="left" w:pos="540"/>
        </w:tabs>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 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 保密条款</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 甲乙双方应对在本合同签订或履行过程中所接触的对方信息，包括但不限于知识产权、技术资料、技术诀窍、内部管理及其他相关信息，负有保密义务。</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（1）应以审慎态度避免泄漏、公开或传播甲方的信息；</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（2）在开发过程中对数据的处理方式应事先得到甲方的许可；</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（3）未经甲方书面许可，不得对有关信息进行修改、补充、复制；</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（4）未经甲方书面许可，不得将信息以任何方式（如E-mail）携带出甲方场所；</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（5）未经甲方书面许可，不得将信息透露给任何其他人； </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（6）严禁在提交的软件产品中设置远程维护接口和后门程序；</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（7）不得进行系统软硬件设备的远程维护；</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（8）甲方以书面形式提出的其他保密措施。</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 保密期限不受合同有效期的限制，在合同有效期结束后，信息接收方仍应承担保密义务，直至该等信息成为公开信息。</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5.4 甲乙双方如出现泄密行为，泄密方应承担相关的法律责任，包括但不限于对由此给对方造成的经济损失进行赔偿。</w:t>
      </w:r>
    </w:p>
    <w:p>
      <w:pPr>
        <w:shd w:val="clear"/>
        <w:topLinePunct/>
        <w:autoSpaceDE w:val="0"/>
        <w:autoSpaceDN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 履约验收要求</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 具体履约验收要求详见采购文件。</w:t>
      </w:r>
    </w:p>
    <w:p>
      <w:pPr>
        <w:shd w:val="clear"/>
        <w:tabs>
          <w:tab w:val="left" w:pos="0"/>
          <w:tab w:val="left" w:pos="540"/>
        </w:tabs>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 履约保证金</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 需提交履约保证金的项目，乙方应按照“合同条款前附表”第10项“履约保证金及返还”提交履约保证金。</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 履约保证金的金额可用于补偿甲方因乙方不能完成其合同义务而蒙受的损失。</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7.3 如乙方未能按时支付合同约定的违约金、赔偿金、其他应付款项等的，甲方有权按照本合同的约定从履约保证金中扣除上述款项。乙方应在甲方扣除履约保证金后15天内，及时补充扣除部分金额。若逾期补充的，每日应按应补充金额的万分之五（0.05%）支付甲方违约金。</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7.4 乙方不履行合同，或者履行合同义务不符合约定使得合同目的不能实现，履约保证金不予退还，给甲方造成的损失超过履约保证金数额的，还应当对超过部分予以赔偿。</w:t>
      </w:r>
    </w:p>
    <w:p>
      <w:pPr>
        <w:shd w:val="clear"/>
        <w:tabs>
          <w:tab w:val="left" w:pos="700"/>
        </w:tabs>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7.5 履约保证金在合同履行期满后，扣除相应款项（如有）且双方无争议后，凭返还申请等资料一次性无息返还，详见“合同条款前附表”第10项“履约保证金及返还”。</w:t>
      </w:r>
    </w:p>
    <w:p>
      <w:pPr>
        <w:shd w:val="clear"/>
        <w:tabs>
          <w:tab w:val="left" w:pos="0"/>
          <w:tab w:val="left" w:pos="540"/>
        </w:tabs>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 履约延误</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 乙方应按照本合同的规定提供服务。</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8.2 如乙方迟延履行合同义务，甲方将从应付合同金额中扣除误期违约金，每延误一天误期违约金按合同总金额的万分之三（0.03%）计收。乙方支付的逾期违约金不足以弥补甲方损失的，应继续承担赔偿责任。本合同约定的损失，包括但不限于：直接损失、调查取证费、诉讼费、律师费等。</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8.4 除不可抗力和根据合同规定延期取得甲方同意而不收取误期赔偿费之外，乙方延误工期，将按合同规定被收取误期赔偿费。</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shd w:val="clear"/>
        <w:topLinePunct/>
        <w:autoSpaceDE w:val="0"/>
        <w:autoSpaceDN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9. 违约责任</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9.3 除应支付甲方违约金等外，甲方有权根据合同或有关部门出具的检验证书向乙方提出索赔。</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9.4 如果乙方对差异负有责任而甲方提出索赔，乙方同意按照下列方式解决索赔事宜：</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9.5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对于影响恶劣的严重违法失信行为，推送财政部纳入政府采购严重违法失信行为记录名单。</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9.6 如果乙方在本项目实施过程中发生违反网络安全规定行为造成不良后果的，自甲方作出认定之日起三年内，税务系统各单位可以拒绝乙方参与税务系统政府采购活动。</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不良后果指造成数据失窃或丢失、敏感信息泄露、主要业务系统瘫痪等网络安全事件。</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9.7 对于本协议未约定的、采购文件（技术部分）中约定的违约处理条款，按采购文件（技术部分）相关约定执行；对本协议与采购文件（技术部分）约定不同的违约处理条款，以本协议约定为准。</w:t>
      </w: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 不可抗力</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本条所述的“不可抗力”系指双方不可预见、不可避免、不可克服的客观情况，但不包括双方的违约或疏忽。这些事件包括但不限于：战争、严重火灾、洪水、台风、地震等。</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 如果乙方因不可抗力而导致合同实施延误或不能履行合同义务，不应承担误期赔偿或终止合同的责任。</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 争端的解决</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11.1 甲乙双方应首先通过友好协商解决在执行本合同中所发生的或与本合同有关的一切争端。如从协商开始</w:t>
      </w:r>
      <w:r>
        <w:rPr>
          <w:rFonts w:hint="eastAsia" w:ascii="宋体" w:hAnsi="宋体" w:eastAsia="宋体" w:cs="宋体"/>
          <w:color w:val="000000" w:themeColor="text1"/>
          <w:szCs w:val="21"/>
          <w:highlight w:val="none"/>
          <w:u w:val="single"/>
          <w14:textFill>
            <w14:solidFill>
              <w14:schemeClr w14:val="tx1"/>
            </w14:solidFill>
          </w14:textFill>
        </w:rPr>
        <w:t xml:space="preserve"> 30 </w:t>
      </w:r>
      <w:r>
        <w:rPr>
          <w:rFonts w:hint="eastAsia" w:ascii="宋体" w:hAnsi="宋体" w:eastAsia="宋体" w:cs="宋体"/>
          <w:color w:val="000000" w:themeColor="text1"/>
          <w:szCs w:val="21"/>
          <w:highlight w:val="none"/>
          <w14:textFill>
            <w14:solidFill>
              <w14:schemeClr w14:val="tx1"/>
            </w14:solidFill>
          </w14:textFill>
        </w:rPr>
        <w:t>天内仍不能解决，可以按合同约定的方式提起仲裁或诉讼。</w:t>
      </w:r>
    </w:p>
    <w:p>
      <w:pPr>
        <w:shd w:val="clear"/>
        <w:spacing w:before="0" w:beforeAutospacing="0" w:after="0" w:afterAutospacing="0" w:line="360" w:lineRule="auto"/>
        <w:ind w:left="239" w:leftChars="114"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11.2.1仲裁应向甲方所在地仲裁委员会申请仲裁。</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11.2.2 仲裁裁决应为最终裁决，对双方均具有约束力。</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11.2.3 仲裁费除仲裁机关另有裁决外应由败诉方负担。</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11.2.4</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在仲裁期间，除正在进行仲裁部分外，本合同的其他部分应继续执行。</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11.3.1</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诉讼应向甲方所在地人民法院提起诉讼。</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11.3.2</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诉讼费除人民法院另有判决外，应由败诉方负担。</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11.3.3</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在诉讼期间，除正在进行诉讼部分外，本合同的其他部分应继续执行。</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12. 违约终止合同</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 乙方不履行合同义务或者履行合同义务不符合合同约定；</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12.1.2 如果乙方未能在合同规定的期限或甲方同意延长的期限内提供服务；</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12.1.3 因乙方人员自身技术能力、经验不足等问题造成甲方发生重大紧急故障，带来重大影响和损失的；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12.1.4 乙方对重大紧急故障没有及时响应，或不能在规定时间内解决处理故障、恢复正常运行的；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12.1.5 不能满足本项目技术需求的管理要求和规范，且经多次整改无明显改进的；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12.1.6 在合同服务期内，同一个应用系统在升级完善、运行维护支持服务过程中，出现5次经甲乙双方确认的用户投诉的；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12.1.7 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12.1.8 乙方在本项目实施过程中发生违反网络安全规定行为造成不良后果的。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12.1.9 乙方提供的服务侵犯甲方、第三方知识产权等合法权益的；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12.1.10 乙方或乙方人员造成甲方或第三方经济损失而拒不赔偿的；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12.1.11 乙方转让其应履行的合同义务，或未经甲方同意采取分包方式履行合同的；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12.1.12 乙方有其他严重违约行为的。</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如果甲方根据上述第12.1条的规定，终止了全部或部分合同，甲方可以适当的条件和方法购买乙方未能提供的服务，乙方应对甲方购买类似服务所超出的费用负责。同时，乙方应继续执行合同中未终止的部分。</w:t>
      </w: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 破产终止合同</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如果乙方破产或无清偿能力，甲方可在任何时候以书面形式通知乙方终止合同而不给乙方补偿。</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13.2该终止合同将不损害或影响甲方已经采取或将要采取的任何行动或补救措施的权力。</w:t>
      </w:r>
    </w:p>
    <w:p>
      <w:pPr>
        <w:shd w:val="clear"/>
        <w:topLinePunct/>
        <w:autoSpaceDE w:val="0"/>
        <w:autoSpaceDN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 其他情况的终止合同</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乙方在执行合同的过程中发生重大事故或变故，对履行合同有直接影响的，甲方可以提出终止合同而不给予乙方任何补偿。</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在服务期内，由于甲方工作计划调整，推广使用新应用系统导致本项目相关服务停止的，甲方可以提出终止合同而不给予乙方任何补偿。</w:t>
      </w:r>
    </w:p>
    <w:p>
      <w:pPr>
        <w:shd w:val="clear"/>
        <w:tabs>
          <w:tab w:val="left" w:pos="700"/>
        </w:tabs>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15. 合同修改或变更</w:t>
      </w:r>
    </w:p>
    <w:p>
      <w:pPr>
        <w:shd w:val="clear"/>
        <w:spacing w:before="0" w:beforeAutospacing="0" w:after="0" w:afterAutospacing="0" w:line="360" w:lineRule="auto"/>
        <w:ind w:firstLine="48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 合同如有未尽事宜，需经甲乙双方协商，作出补充约定，并签订书面补充合同或变更协议。补充合同或变更协议作为本合同的一部分，与本合同具有同等效力。</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 除了双方签署书面修改或变更协议，并成为本合同不可分割的一部分的情况之外，本合同的条款不得有任何变化或修改。</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 由于采购人项目统一规划等原因导致本项目停止部分服务的，甲方将启动合同变更程序，与乙方协商变更相关合同条款。</w:t>
      </w: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16. 转让和分包</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16.1 除甲方事先书面同意外，乙方不得部分转让或全部转让其应履行的合同义务。</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16.2 未经甲方同意，乙方不得采取分包方式履行合同。经甲方同意分包履行合同的，乙方就采购项目及分包项目向甲方负责，分包供应商就分包项目承担责任。</w:t>
      </w:r>
    </w:p>
    <w:p>
      <w:pPr>
        <w:shd w:val="clear"/>
        <w:topLinePunct/>
        <w:autoSpaceDE w:val="0"/>
        <w:autoSpaceDN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17. 合同语言</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 本合同语言为中文。</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双方交换的与合同有关的信件和其他文件应用合同语言书写。</w:t>
      </w:r>
    </w:p>
    <w:p>
      <w:pPr>
        <w:shd w:val="clear"/>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18. 适用法律</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 本合同按照中华人民共和国现行法律进行解释。</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 本合同的履行、违约责任和解决争议的方法等适用《中华人民共和国民法典（合同编）》。</w:t>
      </w:r>
    </w:p>
    <w:p>
      <w:pPr>
        <w:shd w:val="clear"/>
        <w:topLinePunct/>
        <w:autoSpaceDE w:val="0"/>
        <w:autoSpaceDN w:val="0"/>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19. 税费</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合同服务的所有税费均已包含于合同价中，甲方不再另行支付。</w:t>
      </w:r>
    </w:p>
    <w:p>
      <w:pPr>
        <w:shd w:val="clear"/>
        <w:tabs>
          <w:tab w:val="left" w:pos="700"/>
        </w:tabs>
        <w:spacing w:before="0" w:beforeAutospacing="0" w:after="0" w:afterAutospacing="0"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20. 合同生效</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本合同一式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份，由甲乙双方法定代表人或被授权人签字并盖章后生效。</w:t>
      </w:r>
    </w:p>
    <w:p>
      <w:pPr>
        <w:shd w:val="clear"/>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sectPr>
          <w:pgSz w:w="11907" w:h="16839"/>
          <w:pgMar w:top="1440" w:right="1746" w:bottom="1440" w:left="1746" w:header="1148" w:footer="709" w:gutter="0"/>
          <w:cols w:space="720" w:num="1"/>
          <w:docGrid w:linePitch="360" w:charSpace="0"/>
        </w:sectPr>
      </w:pPr>
    </w:p>
    <w:p>
      <w:pPr>
        <w:shd w:val="clear"/>
        <w:topLinePunct/>
        <w:autoSpaceDE w:val="0"/>
        <w:autoSpaceDN w:val="0"/>
        <w:spacing w:before="0" w:beforeAutospacing="0" w:after="0" w:afterAutospacing="0" w:line="360" w:lineRule="auto"/>
        <w:ind w:firstLine="723" w:firstLineChars="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  采购文件及响应文件（如有必要，可另附）</w:t>
      </w:r>
    </w:p>
    <w:p>
      <w:pPr>
        <w:shd w:val="clear"/>
        <w:topLinePunct/>
        <w:autoSpaceDE w:val="0"/>
        <w:autoSpaceDN w:val="0"/>
        <w:spacing w:before="0" w:beforeAutospacing="0" w:after="0" w:afterAutospacing="0" w:line="360" w:lineRule="auto"/>
        <w:ind w:firstLine="723"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  报价表（最终报价）</w:t>
      </w: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sectPr>
          <w:pgSz w:w="11906" w:h="16838"/>
          <w:pgMar w:top="1440" w:right="1752" w:bottom="1440" w:left="1752" w:header="851" w:footer="992" w:gutter="0"/>
          <w:cols w:space="720" w:num="1"/>
          <w:titlePg/>
          <w:docGrid w:type="lines" w:linePitch="312" w:charSpace="0"/>
        </w:sectPr>
      </w:pPr>
    </w:p>
    <w:p>
      <w:pPr>
        <w:shd w:val="clear"/>
        <w:spacing w:before="0" w:beforeAutospacing="0" w:after="0" w:afterAutospacing="0" w:line="240" w:lineRule="auto"/>
        <w:jc w:val="center"/>
        <w:outlineLvl w:val="0"/>
        <w:rPr>
          <w:rFonts w:hint="eastAsia" w:ascii="宋体" w:hAnsi="宋体" w:eastAsia="宋体" w:cs="宋体"/>
          <w:color w:val="000000" w:themeColor="text1"/>
          <w:sz w:val="28"/>
          <w:szCs w:val="28"/>
          <w:highlight w:val="none"/>
          <w14:textFill>
            <w14:solidFill>
              <w14:schemeClr w14:val="tx1"/>
            </w14:solidFill>
          </w14:textFill>
        </w:rPr>
      </w:pPr>
      <w:bookmarkStart w:id="29" w:name="_Toc31668"/>
      <w:bookmarkStart w:id="30" w:name="_Toc6893"/>
      <w:r>
        <w:rPr>
          <w:rFonts w:hint="eastAsia" w:ascii="宋体" w:hAnsi="宋体" w:eastAsia="宋体" w:cs="宋体"/>
          <w:color w:val="000000" w:themeColor="text1"/>
          <w:sz w:val="28"/>
          <w:szCs w:val="28"/>
          <w:highlight w:val="none"/>
          <w14:textFill>
            <w14:solidFill>
              <w14:schemeClr w14:val="tx1"/>
            </w14:solidFill>
          </w14:textFill>
        </w:rPr>
        <w:t>第五章  响应文件格式</w:t>
      </w:r>
      <w:bookmarkEnd w:id="29"/>
      <w:bookmarkEnd w:id="30"/>
    </w:p>
    <w:p>
      <w:pPr>
        <w:shd w:val="clear"/>
        <w:topLinePunct/>
        <w:autoSpaceDE w:val="0"/>
        <w:autoSpaceDN w:val="0"/>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供应商必须按下列文本格式，如实提供具有法律效力的资格证明文件和真实有效的其他文件资料，任何不按下列文本格式提供或有实质性变更将由供应商承担风险。</w:t>
      </w:r>
    </w:p>
    <w:p>
      <w:pPr>
        <w:shd w:val="clear"/>
        <w:topLinePunct/>
        <w:autoSpaceDE w:val="0"/>
        <w:autoSpaceDN w:val="0"/>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1.供应商应严格按照本章规定填写和提交全部格式文件以及其他有关资料，混乱的编排导致响应文件被误读或查找不到，后果由供应商承担。</w:t>
      </w:r>
    </w:p>
    <w:p>
      <w:pPr>
        <w:shd w:val="clear"/>
        <w:topLinePunct/>
        <w:autoSpaceDE w:val="0"/>
        <w:autoSpaceDN w:val="0"/>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2.所附表格中要求回答的全部问题和信息都必须正面回答。</w:t>
      </w:r>
    </w:p>
    <w:p>
      <w:pPr>
        <w:shd w:val="clear"/>
        <w:topLinePunct/>
        <w:autoSpaceDE w:val="0"/>
        <w:autoSpaceDN w:val="0"/>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3.资格声明文件的签字人应保证全部声明和问题的回答是真实的和准确的。</w:t>
      </w:r>
    </w:p>
    <w:p>
      <w:pPr>
        <w:shd w:val="clear"/>
        <w:topLinePunct/>
        <w:autoSpaceDE w:val="0"/>
        <w:autoSpaceDN w:val="0"/>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4.磋商小组将应用供应商提交的资料并根据自己的判断，决定供应商履行合同的合格性及能力。</w:t>
      </w:r>
    </w:p>
    <w:p>
      <w:pPr>
        <w:shd w:val="clear"/>
        <w:topLinePunct/>
        <w:autoSpaceDE w:val="0"/>
        <w:autoSpaceDN w:val="0"/>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5.全部文件应按供应商须知中规定的语言提交。</w:t>
      </w:r>
    </w:p>
    <w:p>
      <w:pPr>
        <w:shd w:val="clear"/>
        <w:topLinePunct/>
        <w:autoSpaceDE w:val="0"/>
        <w:autoSpaceDN w:val="0"/>
        <w:adjustRightInd w:val="0"/>
        <w:snapToGrid w:val="0"/>
        <w:spacing w:before="0" w:beforeAutospacing="0" w:after="0" w:afterAutospacing="0"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6.以下格式文件为要求填写内容的固定格式，供应商不得擅自修改格式，其他未提供格式的文件和资料由供应商自行设计编制格式填写。</w:t>
      </w:r>
    </w:p>
    <w:p>
      <w:pPr>
        <w:shd w:val="clear"/>
        <w:adjustRightInd w:val="0"/>
        <w:snapToGrid w:val="0"/>
        <w:spacing w:before="62" w:beforeLines="20" w:beforeAutospacing="0" w:after="4" w:afterAutospacing="0" w:line="360" w:lineRule="auto"/>
        <w:ind w:firstLine="422" w:firstLineChars="200"/>
        <w:jc w:val="center"/>
        <w:rPr>
          <w:rFonts w:hint="eastAsia" w:ascii="宋体" w:hAnsi="宋体" w:eastAsia="宋体" w:cs="宋体"/>
          <w:b/>
          <w:bCs/>
          <w:color w:val="000000" w:themeColor="text1"/>
          <w:highlight w:val="none"/>
          <w14:textFill>
            <w14:solidFill>
              <w14:schemeClr w14:val="tx1"/>
            </w14:solidFill>
          </w14:textFill>
        </w:rPr>
      </w:pPr>
    </w:p>
    <w:p>
      <w:pPr>
        <w:shd w:val="clear"/>
        <w:spacing w:before="0" w:beforeAutospacing="0" w:after="0" w:afterAutospacing="0" w:line="240" w:lineRule="auto"/>
        <w:ind w:firstLine="422" w:firstLineChars="200"/>
        <w:jc w:val="center"/>
        <w:rPr>
          <w:rFonts w:hint="eastAsia" w:ascii="宋体" w:hAnsi="宋体" w:eastAsia="宋体" w:cs="宋体"/>
          <w:b/>
          <w:bCs/>
          <w:color w:val="000000" w:themeColor="text1"/>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
          <w:bCs/>
          <w:color w:val="000000" w:themeColor="text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pPr>
        <w:shd w:val="clear"/>
        <w:spacing w:before="0" w:beforeAutospacing="0" w:after="0" w:afterAutospacing="0" w:line="600" w:lineRule="auto"/>
        <w:jc w:val="center"/>
        <w:rPr>
          <w:rFonts w:hint="eastAsia" w:ascii="宋体" w:hAnsi="宋体" w:eastAsia="宋体" w:cs="宋体"/>
          <w:b/>
          <w:color w:val="000000" w:themeColor="text1"/>
          <w:kern w:val="0"/>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
          <w:color w:val="000000" w:themeColor="text1"/>
          <w:kern w:val="0"/>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600" w:lineRule="auto"/>
        <w:jc w:val="center"/>
        <w:rPr>
          <w:rFonts w:hint="eastAsia" w:ascii="宋体" w:hAnsi="宋体" w:eastAsia="宋体" w:cs="宋体"/>
          <w:bCs/>
          <w:color w:val="000000" w:themeColor="text1"/>
          <w:kern w:val="0"/>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t>响  应  文  件</w:t>
      </w:r>
    </w:p>
    <w:p>
      <w:pPr>
        <w:shd w:val="clear"/>
        <w:spacing w:before="0" w:beforeAutospacing="0" w:after="0" w:afterAutospacing="0" w:line="600" w:lineRule="auto"/>
        <w:jc w:val="center"/>
        <w:rPr>
          <w:rFonts w:hint="eastAsia" w:ascii="宋体" w:hAnsi="宋体" w:eastAsia="宋体" w:cs="宋体"/>
          <w:bCs/>
          <w:color w:val="000000" w:themeColor="text1"/>
          <w:kern w:val="0"/>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t>商务部分</w:t>
      </w:r>
    </w:p>
    <w:p>
      <w:pPr>
        <w:shd w:val="clear"/>
        <w:spacing w:before="0" w:beforeAutospacing="0" w:after="0" w:afterAutospacing="0" w:line="360" w:lineRule="auto"/>
        <w:jc w:val="center"/>
        <w:rPr>
          <w:rFonts w:hint="eastAsia" w:ascii="宋体" w:hAnsi="宋体" w:eastAsia="宋体" w:cs="宋体"/>
          <w:color w:val="000000" w:themeColor="text1"/>
          <w:kern w:val="0"/>
          <w:sz w:val="32"/>
          <w:szCs w:val="32"/>
          <w:highlight w:val="none"/>
          <w14:textFill>
            <w14:solidFill>
              <w14:schemeClr w14:val="tx1"/>
            </w14:solidFill>
          </w14:textFill>
        </w:rPr>
      </w:pPr>
    </w:p>
    <w:p>
      <w:pPr>
        <w:shd w:val="clear"/>
        <w:spacing w:before="0" w:beforeAutospacing="0" w:after="0" w:afterAutospacing="0"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（填写正本或副本）</w:t>
      </w:r>
    </w:p>
    <w:p>
      <w:pPr>
        <w:shd w:val="clear"/>
        <w:spacing w:before="0" w:beforeAutospacing="0" w:after="0" w:afterAutospacing="0" w:line="360" w:lineRule="auto"/>
        <w:ind w:firstLine="480" w:firstLineChars="200"/>
        <w:jc w:val="center"/>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项目名称：</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项目编号：</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所投采购包：</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       </w:t>
      </w:r>
    </w:p>
    <w:p>
      <w:pPr>
        <w:shd w:val="clear"/>
        <w:spacing w:before="0" w:beforeAutospacing="0" w:after="0" w:afterAutospacing="0" w:line="360" w:lineRule="auto"/>
        <w:ind w:left="1470" w:leftChars="700" w:firstLine="480" w:firstLineChars="200"/>
        <w:jc w:val="center"/>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供应商：</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日  期：</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Start w:id="31" w:name="_Toc15277"/>
      <w:r>
        <w:rPr>
          <w:rFonts w:hint="eastAsia" w:ascii="宋体" w:hAnsi="宋体" w:eastAsia="宋体" w:cs="宋体"/>
          <w:b/>
          <w:bCs/>
          <w:color w:val="000000" w:themeColor="text1"/>
          <w:sz w:val="28"/>
          <w:szCs w:val="28"/>
          <w:highlight w:val="none"/>
          <w14:textFill>
            <w14:solidFill>
              <w14:schemeClr w14:val="tx1"/>
            </w14:solidFill>
          </w14:textFill>
        </w:rPr>
        <w:t>格式1  授权委托书</w:t>
      </w:r>
      <w:bookmarkEnd w:id="31"/>
    </w:p>
    <w:p>
      <w:pPr>
        <w:shd w:val="clear"/>
        <w:adjustRightInd w:val="0"/>
        <w:snapToGrid w:val="0"/>
        <w:spacing w:before="0" w:beforeAutospacing="0" w:after="0" w:afterAutospacing="0" w:line="36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32" w:name="_Toc24435"/>
      <w:r>
        <w:rPr>
          <w:rFonts w:hint="eastAsia" w:ascii="宋体" w:hAnsi="宋体" w:eastAsia="宋体" w:cs="宋体"/>
          <w:b/>
          <w:bCs/>
          <w:color w:val="000000" w:themeColor="text1"/>
          <w:sz w:val="28"/>
          <w:szCs w:val="28"/>
          <w:highlight w:val="none"/>
          <w14:textFill>
            <w14:solidFill>
              <w14:schemeClr w14:val="tx1"/>
            </w14:solidFill>
          </w14:textFill>
        </w:rPr>
        <w:t>1-1法定代表人授权委托书</w:t>
      </w:r>
      <w:bookmarkEnd w:id="32"/>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（适用于授权代表参加磋商）</w:t>
      </w:r>
    </w:p>
    <w:p>
      <w:pPr>
        <w:shd w:val="clear"/>
        <w:spacing w:before="0" w:beforeAutospacing="0" w:after="0" w:afterAutospacing="0" w:line="240" w:lineRule="auto"/>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致____________（采购人或采购代理机构）：</w:t>
      </w:r>
    </w:p>
    <w:p>
      <w:pPr>
        <w:shd w:val="clear"/>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eastAsia="宋体" w:cs="宋体"/>
          <w:color w:val="000000" w:themeColor="text1"/>
          <w:szCs w:val="21"/>
          <w:highlight w:val="none"/>
          <w:u w:val="single"/>
          <w14:textFill>
            <w14:solidFill>
              <w14:schemeClr w14:val="tx1"/>
            </w14:solidFill>
          </w14:textFill>
        </w:rPr>
        <w:t xml:space="preserve">          项目</w:t>
      </w:r>
      <w:r>
        <w:rPr>
          <w:rFonts w:hint="eastAsia" w:ascii="宋体" w:hAnsi="宋体" w:eastAsia="宋体" w:cs="宋体"/>
          <w:color w:val="000000" w:themeColor="text1"/>
          <w:szCs w:val="21"/>
          <w:highlight w:val="none"/>
          <w14:textFill>
            <w14:solidFill>
              <w14:schemeClr w14:val="tx1"/>
            </w14:solidFill>
          </w14:textFill>
        </w:rPr>
        <w:t>》（项目编号：_______）</w:t>
      </w:r>
      <w:r>
        <w:rPr>
          <w:rFonts w:hint="eastAsia" w:ascii="宋体" w:hAnsi="宋体" w:eastAsia="宋体" w:cs="宋体"/>
          <w:color w:val="000000" w:themeColor="text1"/>
          <w:kern w:val="0"/>
          <w:szCs w:val="21"/>
          <w:highlight w:val="none"/>
          <w14:textFill>
            <w14:solidFill>
              <w14:schemeClr w14:val="tx1"/>
            </w14:solidFill>
          </w14:textFill>
        </w:rPr>
        <w:t>磋商、澄清、</w:t>
      </w:r>
      <w:r>
        <w:rPr>
          <w:rFonts w:hint="eastAsia" w:ascii="宋体" w:hAnsi="宋体" w:eastAsia="宋体" w:cs="宋体"/>
          <w:color w:val="000000" w:themeColor="text1"/>
          <w:szCs w:val="21"/>
          <w:highlight w:val="none"/>
          <w14:textFill>
            <w14:solidFill>
              <w14:schemeClr w14:val="tx1"/>
            </w14:solidFill>
          </w14:textFill>
        </w:rPr>
        <w:t>合同的执行，以本公司名义处理一切与之有关的事务。</w:t>
      </w:r>
    </w:p>
    <w:p>
      <w:pPr>
        <w:shd w:val="clear"/>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本授权书于______年______月_____日生效，特此声明。</w:t>
      </w:r>
    </w:p>
    <w:p>
      <w:pPr>
        <w:shd w:val="clear"/>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授权代表无转委托权。</w:t>
      </w:r>
    </w:p>
    <w:p>
      <w:pPr>
        <w:shd w:val="clear"/>
        <w:adjustRightInd w:val="0"/>
        <w:snapToGrid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p>
    <w:tbl>
      <w:tblPr>
        <w:tblStyle w:val="7"/>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授权代表</w:t>
            </w:r>
            <w:r>
              <w:rPr>
                <w:rFonts w:hint="eastAsia" w:ascii="宋体" w:hAnsi="宋体" w:eastAsia="宋体" w:cs="宋体"/>
                <w:color w:val="000000" w:themeColor="text1"/>
                <w:szCs w:val="21"/>
                <w:highlight w:val="none"/>
                <w14:textFill>
                  <w14:solidFill>
                    <w14:schemeClr w14:val="tx1"/>
                  </w14:solidFill>
                </w14:textFill>
              </w:rPr>
              <w:t>身份证复印件</w:t>
            </w: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adjustRightInd w:val="0"/>
        <w:snapToGrid w:val="0"/>
        <w:spacing w:before="0" w:beforeAutospacing="0" w:after="0" w:afterAutospacing="0" w:line="360" w:lineRule="auto"/>
        <w:jc w:val="left"/>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供应商名称（公章）：________________</w:t>
      </w:r>
    </w:p>
    <w:p>
      <w:pPr>
        <w:shd w:val="clear"/>
        <w:tabs>
          <w:tab w:val="left" w:pos="1230"/>
        </w:tabs>
        <w:topLinePunct/>
        <w:autoSpaceDE w:val="0"/>
        <w:autoSpaceDN w:val="0"/>
        <w:adjustRightInd w:val="0"/>
        <w:snapToGrid w:val="0"/>
        <w:spacing w:before="0" w:beforeAutospacing="0" w:after="0" w:afterAutospacing="0"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法定代表人（签字）：________________</w:t>
      </w:r>
    </w:p>
    <w:p>
      <w:pPr>
        <w:shd w:val="clear"/>
        <w:tabs>
          <w:tab w:val="left" w:pos="1230"/>
        </w:tabs>
        <w:topLinePunct/>
        <w:autoSpaceDE w:val="0"/>
        <w:autoSpaceDN w:val="0"/>
        <w:adjustRightInd w:val="0"/>
        <w:snapToGrid w:val="0"/>
        <w:spacing w:before="0" w:beforeAutospacing="0" w:after="0" w:afterAutospacing="0"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授权代表（签字）：________________</w:t>
      </w:r>
    </w:p>
    <w:p>
      <w:pPr>
        <w:shd w:val="clear"/>
        <w:tabs>
          <w:tab w:val="left" w:pos="1230"/>
        </w:tabs>
        <w:topLinePunct/>
        <w:autoSpaceDE w:val="0"/>
        <w:autoSpaceDN w:val="0"/>
        <w:adjustRightInd w:val="0"/>
        <w:snapToGrid w:val="0"/>
        <w:spacing w:before="0" w:beforeAutospacing="0" w:after="0" w:afterAutospacing="0"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授权代表联系电话：____________</w:t>
      </w:r>
    </w:p>
    <w:p>
      <w:pPr>
        <w:shd w:val="clear"/>
        <w:tabs>
          <w:tab w:val="left" w:pos="1230"/>
        </w:tabs>
        <w:topLinePunct/>
        <w:autoSpaceDE w:val="0"/>
        <w:autoSpaceDN w:val="0"/>
        <w:adjustRightInd w:val="0"/>
        <w:snapToGrid w:val="0"/>
        <w:spacing w:before="0" w:beforeAutospacing="0" w:after="0" w:afterAutospacing="0" w:line="360" w:lineRule="auto"/>
        <w:ind w:left="3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日期：____________</w:t>
      </w:r>
    </w:p>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color w:val="000000" w:themeColor="text1"/>
          <w:highlight w:val="none"/>
          <w14:textFill>
            <w14:solidFill>
              <w14:schemeClr w14:val="tx1"/>
            </w14:solidFill>
          </w14:textFill>
        </w:rPr>
      </w:pPr>
    </w:p>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shd w:val="clear"/>
        <w:tabs>
          <w:tab w:val="left" w:pos="312"/>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如由授权代表参与磋商活动的，须同时提供《法定代表人授权委托书》和授权代表身份证复印件。《法定代表人授权委托书》应当按本格式要求加盖与供应商名称全称一致的标准公章，并签署法定代表人或授权代表人的全名</w:t>
      </w:r>
      <w:r>
        <w:rPr>
          <w:rFonts w:hint="eastAsia" w:ascii="宋体" w:hAnsi="宋体" w:eastAsia="宋体" w:cs="宋体"/>
          <w:color w:val="000000" w:themeColor="text1"/>
          <w:szCs w:val="21"/>
          <w:highlight w:val="none"/>
          <w14:textFill>
            <w14:solidFill>
              <w14:schemeClr w14:val="tx1"/>
            </w14:solidFill>
          </w14:textFill>
        </w:rPr>
        <w:t>。</w:t>
      </w:r>
    </w:p>
    <w:p>
      <w:pPr>
        <w:shd w:val="clear"/>
        <w:adjustRightInd w:val="0"/>
        <w:snapToGrid w:val="0"/>
        <w:spacing w:before="0" w:beforeAutospacing="0" w:after="0" w:afterAutospacing="0" w:line="36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Start w:id="33" w:name="_Toc10496"/>
      <w:r>
        <w:rPr>
          <w:rFonts w:hint="eastAsia" w:ascii="宋体" w:hAnsi="宋体" w:eastAsia="宋体" w:cs="宋体"/>
          <w:b/>
          <w:bCs/>
          <w:color w:val="000000" w:themeColor="text1"/>
          <w:sz w:val="28"/>
          <w:szCs w:val="28"/>
          <w:highlight w:val="none"/>
          <w14:textFill>
            <w14:solidFill>
              <w14:schemeClr w14:val="tx1"/>
            </w14:solidFill>
          </w14:textFill>
        </w:rPr>
        <w:t>1-2法定代表人身份证明复印件</w:t>
      </w:r>
      <w:bookmarkEnd w:id="33"/>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（适用于法定代表人参加磋商）</w:t>
      </w:r>
    </w:p>
    <w:p>
      <w:pPr>
        <w:shd w:val="clear"/>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tbl>
      <w:tblPr>
        <w:tblStyle w:val="7"/>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法定代表人身份证明复印件</w:t>
            </w: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color w:val="000000" w:themeColor="text1"/>
          <w:highlight w:val="none"/>
          <w14:textFill>
            <w14:solidFill>
              <w14:schemeClr w14:val="tx1"/>
            </w14:solidFill>
          </w14:textFill>
        </w:rPr>
      </w:pPr>
    </w:p>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shd w:val="clear"/>
        <w:tabs>
          <w:tab w:val="left" w:pos="312"/>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供应商如由</w:t>
      </w:r>
      <w:r>
        <w:rPr>
          <w:rFonts w:hint="eastAsia" w:ascii="宋体" w:hAnsi="宋体" w:eastAsia="宋体" w:cs="宋体"/>
          <w:b/>
          <w:bCs/>
          <w:color w:val="000000" w:themeColor="text1"/>
          <w:highlight w:val="none"/>
          <w14:textFill>
            <w14:solidFill>
              <w14:schemeClr w14:val="tx1"/>
            </w14:solidFill>
          </w14:textFill>
        </w:rPr>
        <w:t>法定代表人作为磋商代表参与磋商活动的，仅须提供法定代表人身份证复印件</w:t>
      </w:r>
      <w:r>
        <w:rPr>
          <w:rFonts w:hint="eastAsia" w:ascii="宋体" w:hAnsi="宋体" w:eastAsia="宋体" w:cs="宋体"/>
          <w:color w:val="000000" w:themeColor="text1"/>
          <w:highlight w:val="none"/>
          <w14:textFill>
            <w14:solidFill>
              <w14:schemeClr w14:val="tx1"/>
            </w14:solidFill>
          </w14:textFill>
        </w:rPr>
        <w:t>。</w:t>
      </w:r>
    </w:p>
    <w:p>
      <w:pPr>
        <w:shd w:val="clear"/>
        <w:spacing w:before="0" w:beforeAutospacing="0" w:after="0" w:afterAutospacing="0"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widowControl/>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Start w:id="34" w:name="_Toc6375"/>
      <w:r>
        <w:rPr>
          <w:rFonts w:hint="eastAsia" w:ascii="宋体" w:hAnsi="宋体" w:eastAsia="宋体" w:cs="宋体"/>
          <w:b/>
          <w:bCs/>
          <w:color w:val="000000" w:themeColor="text1"/>
          <w:sz w:val="28"/>
          <w:szCs w:val="28"/>
          <w:highlight w:val="none"/>
          <w14:textFill>
            <w14:solidFill>
              <w14:schemeClr w14:val="tx1"/>
            </w14:solidFill>
          </w14:textFill>
        </w:rPr>
        <w:t>1-3自然人授权委托书</w:t>
      </w:r>
      <w:bookmarkEnd w:id="34"/>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（适用于自然人参加磋商）</w:t>
      </w:r>
    </w:p>
    <w:p>
      <w:pPr>
        <w:shd w:val="clear"/>
        <w:spacing w:before="0" w:beforeAutospacing="0" w:after="0" w:afterAutospacing="0" w:line="240" w:lineRule="auto"/>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致____________（采购人或采购代理机构）：</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本授权书声明：我________（姓名、身份证号码）系自然人，现授权委托____________（姓名、身份证号码）以本人名义参加《</w:t>
      </w:r>
      <w:r>
        <w:rPr>
          <w:rFonts w:hint="eastAsia" w:ascii="宋体" w:hAnsi="宋体" w:eastAsia="宋体" w:cs="宋体"/>
          <w:color w:val="000000" w:themeColor="text1"/>
          <w:szCs w:val="21"/>
          <w:highlight w:val="none"/>
          <w:u w:val="single"/>
          <w14:textFill>
            <w14:solidFill>
              <w14:schemeClr w14:val="tx1"/>
            </w14:solidFill>
          </w14:textFill>
        </w:rPr>
        <w:t xml:space="preserve">          项目</w:t>
      </w:r>
      <w:r>
        <w:rPr>
          <w:rFonts w:hint="eastAsia" w:ascii="宋体" w:hAnsi="宋体" w:eastAsia="宋体" w:cs="宋体"/>
          <w:color w:val="000000" w:themeColor="text1"/>
          <w:szCs w:val="21"/>
          <w:highlight w:val="none"/>
          <w14:textFill>
            <w14:solidFill>
              <w14:schemeClr w14:val="tx1"/>
            </w14:solidFill>
          </w14:textFill>
        </w:rPr>
        <w:t>》（项目编号：    ）的磋商活动，并代表本人全权办理针对上述项目的磋商、签约等具体事务和签署相关文件。</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本人对被授权人的签字事项负全部责任。</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授权委托代理期限：从　　年　　月　　日起至　　年　　月　　日止。</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代理人无转委托权，特此委托。</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自然人签字并在签名处加盖食指指印：　　　　年　　月　　日</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color w:val="000000" w:themeColor="text1"/>
          <w:szCs w:val="21"/>
          <w:highlight w:val="none"/>
          <w14:textFill>
            <w14:solidFill>
              <w14:schemeClr w14:val="tx1"/>
            </w14:solidFill>
          </w14:textFill>
        </w:rPr>
      </w:pPr>
    </w:p>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shd w:val="clear"/>
        <w:tabs>
          <w:tab w:val="left" w:pos="312"/>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供应商如由</w:t>
      </w:r>
      <w:r>
        <w:rPr>
          <w:rFonts w:hint="eastAsia" w:ascii="宋体" w:hAnsi="宋体" w:eastAsia="宋体" w:cs="宋体"/>
          <w:b/>
          <w:bCs/>
          <w:color w:val="000000" w:themeColor="text1"/>
          <w:highlight w:val="none"/>
          <w14:textFill>
            <w14:solidFill>
              <w14:schemeClr w14:val="tx1"/>
            </w14:solidFill>
          </w14:textFill>
        </w:rPr>
        <w:t>被授权人参与磋商活动的，</w:t>
      </w:r>
      <w:r>
        <w:rPr>
          <w:rFonts w:hint="eastAsia" w:ascii="宋体" w:hAnsi="宋体" w:eastAsia="宋体" w:cs="宋体"/>
          <w:color w:val="000000" w:themeColor="text1"/>
          <w:highlight w:val="none"/>
          <w14:textFill>
            <w14:solidFill>
              <w14:schemeClr w14:val="tx1"/>
            </w14:solidFill>
          </w14:textFill>
        </w:rPr>
        <w:t>须提供《自然人授权委托书》，《自然人授权委托书》应当按本格式要求签字并由自然人在签名处加盖食指指印</w:t>
      </w:r>
      <w:r>
        <w:rPr>
          <w:rFonts w:hint="eastAsia" w:ascii="宋体" w:hAnsi="宋体" w:eastAsia="宋体" w:cs="宋体"/>
          <w:color w:val="000000" w:themeColor="text1"/>
          <w:szCs w:val="21"/>
          <w:highlight w:val="none"/>
          <w14:textFill>
            <w14:solidFill>
              <w14:schemeClr w14:val="tx1"/>
            </w14:solidFill>
          </w14:textFill>
        </w:rPr>
        <w:t>。</w:t>
      </w:r>
    </w:p>
    <w:p>
      <w:pPr>
        <w:shd w:val="clear"/>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hd w:val="clear"/>
        <w:spacing w:before="0" w:beforeAutospacing="0" w:after="0" w:afterAutospacing="0" w:line="240" w:lineRule="auto"/>
        <w:jc w:val="center"/>
        <w:outlineLvl w:val="1"/>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35" w:name="_Toc25084"/>
      <w:r>
        <w:rPr>
          <w:rFonts w:hint="eastAsia" w:ascii="宋体" w:hAnsi="宋体" w:eastAsia="宋体" w:cs="宋体"/>
          <w:b/>
          <w:bCs/>
          <w:color w:val="000000" w:themeColor="text1"/>
          <w:sz w:val="28"/>
          <w:szCs w:val="28"/>
          <w:highlight w:val="none"/>
          <w14:textFill>
            <w14:solidFill>
              <w14:schemeClr w14:val="tx1"/>
            </w14:solidFill>
          </w14:textFill>
        </w:rPr>
        <w:t>格式2  磋商响应函</w:t>
      </w:r>
      <w:bookmarkEnd w:id="35"/>
    </w:p>
    <w:p>
      <w:pPr>
        <w:shd w:val="clear"/>
        <w:topLinePunct/>
        <w:autoSpaceDE w:val="0"/>
        <w:autoSpaceDN w:val="0"/>
        <w:adjustRightInd w:val="0"/>
        <w:snapToGrid w:val="0"/>
        <w:spacing w:before="0" w:beforeAutospacing="0" w:after="0" w:afterAutospacing="0" w:line="360" w:lineRule="auto"/>
        <w:rPr>
          <w:rFonts w:hint="eastAsia" w:ascii="宋体" w:hAnsi="宋体" w:eastAsia="宋体" w:cs="宋体"/>
          <w:color w:val="000000" w:themeColor="text1"/>
          <w:sz w:val="24"/>
          <w:szCs w:val="21"/>
          <w:highlight w:val="none"/>
          <w14:textFill>
            <w14:solidFill>
              <w14:schemeClr w14:val="tx1"/>
            </w14:solidFill>
          </w14:textFill>
        </w:rPr>
      </w:pPr>
    </w:p>
    <w:p>
      <w:pPr>
        <w:shd w:val="clear"/>
        <w:topLinePunct/>
        <w:autoSpaceDE w:val="0"/>
        <w:autoSpaceDN w:val="0"/>
        <w:adjustRightInd w:val="0"/>
        <w:snapToGrid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致________（采购人或采购代理机构）：</w:t>
      </w:r>
    </w:p>
    <w:p>
      <w:pPr>
        <w:shd w:val="clear"/>
        <w:topLinePunct/>
        <w:autoSpaceDE w:val="0"/>
        <w:autoSpaceDN w:val="0"/>
        <w:adjustRightInd w:val="0"/>
        <w:snapToGrid w:val="0"/>
        <w:spacing w:before="0" w:beforeAutospacing="0" w:after="0" w:afterAutospacing="0" w:line="360" w:lineRule="auto"/>
        <w:ind w:firstLine="428" w:firstLineChars="20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根据______（项目名称）（项目编号：______）的磋商邀请，______（姓名、职务）代表供应商______（供应商名称、地址）参加项目磋商的有关活动。据此函，作如下承诺：</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1.同意在本项目采购文件中规定的</w:t>
      </w:r>
      <w:r>
        <w:rPr>
          <w:rFonts w:hint="eastAsia" w:ascii="宋体" w:hAnsi="宋体" w:cs="宋体"/>
          <w:color w:val="000000" w:themeColor="text1"/>
          <w:szCs w:val="21"/>
          <w:highlight w:val="none"/>
          <w:lang w:val="en-US" w:eastAsia="zh-CN"/>
          <w14:textFill>
            <w14:solidFill>
              <w14:schemeClr w14:val="tx1"/>
            </w14:solidFill>
          </w14:textFill>
        </w:rPr>
        <w:t>响应文件递交截止</w:t>
      </w:r>
      <w:r>
        <w:rPr>
          <w:rFonts w:hint="eastAsia" w:ascii="宋体" w:hAnsi="宋体" w:eastAsia="宋体" w:cs="宋体"/>
          <w:color w:val="000000" w:themeColor="text1"/>
          <w:szCs w:val="21"/>
          <w:highlight w:val="none"/>
          <w14:textFill>
            <w14:solidFill>
              <w14:schemeClr w14:val="tx1"/>
            </w14:solidFill>
          </w14:textFill>
        </w:rPr>
        <w:t>日起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天遵守本响应文件中的承诺，且在期满之前均具有约束力。</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2.具备采购相关法律法规规定的参加采购活动的供应商应当具备的条件：</w:t>
      </w:r>
    </w:p>
    <w:p>
      <w:pPr>
        <w:shd w:val="clear"/>
        <w:tabs>
          <w:tab w:val="left" w:pos="700"/>
        </w:tabs>
        <w:topLinePunct/>
        <w:autoSpaceDE w:val="0"/>
        <w:autoSpaceDN w:val="0"/>
        <w:adjustRightInd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pPr>
        <w:shd w:val="clear"/>
        <w:tabs>
          <w:tab w:val="left" w:pos="700"/>
        </w:tabs>
        <w:topLinePunct/>
        <w:autoSpaceDE w:val="0"/>
        <w:autoSpaceDN w:val="0"/>
        <w:adjustRightInd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（2）具有良好的商业信誉和健全的财务会计制度；</w:t>
      </w:r>
    </w:p>
    <w:p>
      <w:pPr>
        <w:shd w:val="clear"/>
        <w:tabs>
          <w:tab w:val="left" w:pos="700"/>
        </w:tabs>
        <w:topLinePunct/>
        <w:autoSpaceDE w:val="0"/>
        <w:autoSpaceDN w:val="0"/>
        <w:adjustRightInd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（3）具有履行合同所必需的设备和专业技术能力；</w:t>
      </w:r>
    </w:p>
    <w:p>
      <w:pPr>
        <w:shd w:val="clear"/>
        <w:tabs>
          <w:tab w:val="left" w:pos="700"/>
        </w:tabs>
        <w:topLinePunct/>
        <w:autoSpaceDE w:val="0"/>
        <w:autoSpaceDN w:val="0"/>
        <w:adjustRightInd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pPr>
        <w:shd w:val="clear"/>
        <w:tabs>
          <w:tab w:val="left" w:pos="700"/>
        </w:tabs>
        <w:topLinePunct/>
        <w:autoSpaceDE w:val="0"/>
        <w:autoSpaceDN w:val="0"/>
        <w:adjustRightInd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（5）参加此项采购活动前三年内，在经营活动中没有重大违法记录。</w:t>
      </w:r>
    </w:p>
    <w:p>
      <w:pPr>
        <w:shd w:val="clear"/>
        <w:tabs>
          <w:tab w:val="left" w:pos="700"/>
        </w:tabs>
        <w:topLinePunct/>
        <w:autoSpaceDE w:val="0"/>
        <w:autoSpaceDN w:val="0"/>
        <w:adjustRightInd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（6）法律、行政法规规定的其他条件。 </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3.具备本项目采购文件中规定的其他要求和资质条件。</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4.提供供应商须知规定的全部响应文件。</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5.已详细审阅全部采购文件（包括采购文件澄清函），理解供应商须知的所有条款。</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6.完全理解贵方“最低报价不能作为成交的保证”的规定。</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7.接受采购文件中全部合同条款，且无任何异议；保证忠实地执行双方所签订的合同，并承担合同规定的责任和义务。</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8.完全满足和响应采购文件中的各项商务和技术要求，若有偏差，已在响应文件中明确说明。</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9.愿意提供任何与磋商有关的数据、情况和技术资料等。若贵方需要，愿意提供一切证明材料。</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10.我方已详细审核全部响应文件、参考资料及有关附件，确认无误。</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11.对本次采购内容及与本项目有关的知识产权、技术资料、商业秘密及相关信息保密。</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已知悉并承诺遵守《税务系统信息化服务商失信行为记录名单制度（试行）》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采购活动的相关规定。</w:t>
      </w:r>
    </w:p>
    <w:p>
      <w:pPr>
        <w:shd w:val="clear"/>
        <w:tabs>
          <w:tab w:val="left" w:pos="420"/>
        </w:tabs>
        <w:topLinePunct/>
        <w:autoSpaceDE w:val="0"/>
        <w:autoSpaceDN w:val="0"/>
        <w:snapToGrid w:val="0"/>
        <w:spacing w:before="0" w:beforeAutospacing="0" w:after="0" w:afterAutospacing="0" w:line="360" w:lineRule="auto"/>
        <w:ind w:firstLine="428" w:firstLineChars="2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13.已知悉并承诺遵守采购文件中关于供应链安全管理的全部要求。</w:t>
      </w:r>
    </w:p>
    <w:p>
      <w:pPr>
        <w:shd w:val="clear"/>
        <w:tabs>
          <w:tab w:val="left" w:pos="420"/>
        </w:tabs>
        <w:topLinePunct/>
        <w:autoSpaceDE w:val="0"/>
        <w:autoSpaceDN w:val="0"/>
        <w:snapToGrid w:val="0"/>
        <w:spacing w:before="0" w:beforeAutospacing="0" w:after="0" w:afterAutospacing="0" w:line="360" w:lineRule="auto"/>
        <w:ind w:firstLine="428" w:firstLineChars="204"/>
        <w:jc w:val="center"/>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420"/>
        </w:tabs>
        <w:topLinePunct/>
        <w:autoSpaceDE w:val="0"/>
        <w:autoSpaceDN w:val="0"/>
        <w:snapToGrid w:val="0"/>
        <w:spacing w:before="0" w:beforeAutospacing="0" w:after="0" w:afterAutospacing="0" w:line="360" w:lineRule="auto"/>
        <w:ind w:firstLine="428" w:firstLineChars="204"/>
        <w:jc w:val="center"/>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420"/>
        </w:tabs>
        <w:topLinePunct/>
        <w:autoSpaceDE w:val="0"/>
        <w:autoSpaceDN w:val="0"/>
        <w:snapToGrid w:val="0"/>
        <w:spacing w:before="0" w:beforeAutospacing="0" w:after="0" w:afterAutospacing="0" w:line="360" w:lineRule="auto"/>
        <w:ind w:firstLine="428" w:firstLineChars="204"/>
        <w:jc w:val="center"/>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420"/>
        </w:tabs>
        <w:topLinePunct/>
        <w:autoSpaceDE w:val="0"/>
        <w:autoSpaceDN w:val="0"/>
        <w:snapToGrid w:val="0"/>
        <w:spacing w:before="0" w:beforeAutospacing="0" w:after="0" w:afterAutospacing="0" w:line="360" w:lineRule="auto"/>
        <w:ind w:firstLine="428" w:firstLineChars="204"/>
        <w:jc w:val="center"/>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420"/>
        </w:tabs>
        <w:topLinePunct/>
        <w:autoSpaceDE w:val="0"/>
        <w:autoSpaceDN w:val="0"/>
        <w:snapToGrid w:val="0"/>
        <w:spacing w:before="0" w:beforeAutospacing="0" w:after="0" w:afterAutospacing="0" w:line="360" w:lineRule="auto"/>
        <w:ind w:firstLine="428" w:firstLineChars="204"/>
        <w:jc w:val="center"/>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420"/>
        </w:tabs>
        <w:topLinePunct/>
        <w:autoSpaceDE w:val="0"/>
        <w:autoSpaceDN w:val="0"/>
        <w:snapToGrid w:val="0"/>
        <w:spacing w:before="0" w:beforeAutospacing="0" w:after="0" w:afterAutospacing="0" w:line="360" w:lineRule="auto"/>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供应商名称（公章）：____________</w:t>
      </w:r>
    </w:p>
    <w:p>
      <w:pPr>
        <w:shd w:val="clear"/>
        <w:tabs>
          <w:tab w:val="left" w:pos="420"/>
        </w:tabs>
        <w:topLinePunct/>
        <w:autoSpaceDE w:val="0"/>
        <w:autoSpaceDN w:val="0"/>
        <w:snapToGrid w:val="0"/>
        <w:spacing w:before="0" w:beforeAutospacing="0" w:after="0" w:afterAutospacing="0" w:line="360" w:lineRule="auto"/>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法定代表人（签字）/授权代表（签字）：____________</w:t>
      </w:r>
    </w:p>
    <w:p>
      <w:pPr>
        <w:shd w:val="clear"/>
        <w:tabs>
          <w:tab w:val="left" w:pos="420"/>
        </w:tabs>
        <w:topLinePunct/>
        <w:autoSpaceDE w:val="0"/>
        <w:autoSpaceDN w:val="0"/>
        <w:snapToGrid w:val="0"/>
        <w:spacing w:before="0" w:beforeAutospacing="0" w:after="0" w:afterAutospacing="0" w:line="360" w:lineRule="auto"/>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供应商地址：____________</w:t>
      </w:r>
    </w:p>
    <w:p>
      <w:pPr>
        <w:shd w:val="clear"/>
        <w:tabs>
          <w:tab w:val="left" w:pos="420"/>
        </w:tabs>
        <w:topLinePunct/>
        <w:autoSpaceDE w:val="0"/>
        <w:autoSpaceDN w:val="0"/>
        <w:snapToGrid w:val="0"/>
        <w:spacing w:before="0" w:beforeAutospacing="0" w:after="0" w:afterAutospacing="0" w:line="360" w:lineRule="auto"/>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邮编：____________</w:t>
      </w:r>
    </w:p>
    <w:p>
      <w:pPr>
        <w:shd w:val="clear"/>
        <w:tabs>
          <w:tab w:val="left" w:pos="420"/>
        </w:tabs>
        <w:topLinePunct/>
        <w:autoSpaceDE w:val="0"/>
        <w:autoSpaceDN w:val="0"/>
        <w:snapToGrid w:val="0"/>
        <w:spacing w:before="0" w:beforeAutospacing="0" w:after="0" w:afterAutospacing="0" w:line="360" w:lineRule="auto"/>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电话：____________</w:t>
      </w:r>
    </w:p>
    <w:p>
      <w:pPr>
        <w:shd w:val="clear"/>
        <w:tabs>
          <w:tab w:val="left" w:pos="420"/>
        </w:tabs>
        <w:topLinePunct/>
        <w:autoSpaceDE w:val="0"/>
        <w:autoSpaceDN w:val="0"/>
        <w:snapToGrid w:val="0"/>
        <w:spacing w:before="0" w:beforeAutospacing="0" w:after="0" w:afterAutospacing="0" w:line="360" w:lineRule="auto"/>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传真：____________</w:t>
      </w:r>
    </w:p>
    <w:p>
      <w:pPr>
        <w:shd w:val="clear"/>
        <w:tabs>
          <w:tab w:val="left" w:pos="420"/>
        </w:tabs>
        <w:topLinePunct/>
        <w:autoSpaceDE w:val="0"/>
        <w:autoSpaceDN w:val="0"/>
        <w:snapToGrid w:val="0"/>
        <w:spacing w:before="0" w:beforeAutospacing="0" w:after="0" w:afterAutospacing="0" w:line="360" w:lineRule="auto"/>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日  期：____________          </w:t>
      </w:r>
    </w:p>
    <w:p>
      <w:pPr>
        <w:shd w:val="clear"/>
        <w:tabs>
          <w:tab w:val="left" w:pos="1230"/>
        </w:tabs>
        <w:topLinePunct/>
        <w:autoSpaceDE w:val="0"/>
        <w:autoSpaceDN w:val="0"/>
        <w:snapToGrid w:val="0"/>
        <w:spacing w:before="0" w:beforeAutospacing="0" w:after="0" w:afterAutospacing="0" w:line="400" w:lineRule="exact"/>
        <w:ind w:left="36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24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adjustRightInd w:val="0"/>
        <w:snapToGrid w:val="0"/>
        <w:spacing w:before="0" w:beforeAutospacing="0" w:after="0" w:afterAutospacing="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shd w:val="clear"/>
        <w:adjustRightInd w:val="0"/>
        <w:snapToGrid w:val="0"/>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供应商应当按上述格式要求加盖与供应商名称全称一致的标准公章，并签署法定代表人或</w:t>
      </w:r>
      <w:r>
        <w:rPr>
          <w:rFonts w:hint="eastAsia" w:ascii="宋体" w:hAnsi="宋体" w:eastAsia="宋体" w:cs="宋体"/>
          <w:bCs/>
          <w:color w:val="000000" w:themeColor="text1"/>
          <w:szCs w:val="21"/>
          <w:highlight w:val="none"/>
          <w14:textFill>
            <w14:solidFill>
              <w14:schemeClr w14:val="tx1"/>
            </w14:solidFill>
          </w14:textFill>
        </w:rPr>
        <w:t>授权代表</w:t>
      </w:r>
      <w:r>
        <w:rPr>
          <w:rFonts w:hint="eastAsia" w:ascii="宋体" w:hAnsi="宋体" w:eastAsia="宋体" w:cs="宋体"/>
          <w:color w:val="000000" w:themeColor="text1"/>
          <w:szCs w:val="21"/>
          <w:highlight w:val="none"/>
          <w14:textFill>
            <w14:solidFill>
              <w14:schemeClr w14:val="tx1"/>
            </w14:solidFill>
          </w14:textFill>
        </w:rPr>
        <w:t>的全名或加盖名章。</w:t>
      </w:r>
    </w:p>
    <w:p>
      <w:pPr>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bookmarkStart w:id="36" w:name="_Toc273"/>
      <w:r>
        <w:rPr>
          <w:rFonts w:hint="eastAsia" w:ascii="宋体" w:hAnsi="宋体" w:eastAsia="宋体" w:cs="宋体"/>
          <w:b/>
          <w:bCs/>
          <w:color w:val="000000" w:themeColor="text1"/>
          <w:sz w:val="28"/>
          <w:szCs w:val="28"/>
          <w:highlight w:val="none"/>
          <w14:textFill>
            <w14:solidFill>
              <w14:schemeClr w14:val="tx1"/>
            </w14:solidFill>
          </w14:textFill>
        </w:rPr>
        <w:t>格式3  磋商报价表</w:t>
      </w:r>
      <w:bookmarkEnd w:id="36"/>
    </w:p>
    <w:p>
      <w:pPr>
        <w:widowControl/>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37" w:name="_Toc9925"/>
      <w:r>
        <w:rPr>
          <w:rFonts w:hint="eastAsia" w:ascii="宋体" w:hAnsi="宋体" w:eastAsia="宋体" w:cs="宋体"/>
          <w:b/>
          <w:bCs/>
          <w:color w:val="000000" w:themeColor="text1"/>
          <w:sz w:val="28"/>
          <w:szCs w:val="28"/>
          <w:highlight w:val="none"/>
          <w14:textFill>
            <w14:solidFill>
              <w14:schemeClr w14:val="tx1"/>
            </w14:solidFill>
          </w14:textFill>
        </w:rPr>
        <w:t>1.报价一览表（总报价表）</w:t>
      </w:r>
      <w:bookmarkEnd w:id="37"/>
    </w:p>
    <w:p>
      <w:pPr>
        <w:shd w:val="clear"/>
        <w:topLinePunct/>
        <w:autoSpaceDE w:val="0"/>
        <w:autoSpaceDN w:val="0"/>
        <w:adjustRightInd w:val="0"/>
        <w:snapToGrid w:val="0"/>
        <w:spacing w:before="0" w:beforeAutospacing="0" w:after="0" w:afterAutospacing="0" w:line="360" w:lineRule="auto"/>
        <w:ind w:left="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（服务类项目适用）</w:t>
      </w:r>
    </w:p>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p>
      <w:pPr>
        <w:shd w:val="clear"/>
        <w:tabs>
          <w:tab w:val="left" w:pos="8620"/>
        </w:tabs>
        <w:adjustRightInd w:val="0"/>
        <w:snapToGrid w:val="0"/>
        <w:spacing w:before="0" w:beforeAutospacing="0" w:after="0" w:afterAutospacing="0" w:line="360" w:lineRule="auto"/>
        <w:ind w:right="-218"/>
        <w:rPr>
          <w:rFonts w:hint="eastAsia" w:ascii="宋体" w:hAnsi="宋体" w:eastAsia="宋体" w:cs="宋体"/>
          <w:bCs/>
          <w:color w:val="000000" w:themeColor="text1"/>
          <w:w w:val="15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采购包号：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tbl>
      <w:tblPr>
        <w:tblStyle w:val="7"/>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4918"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内容</w:t>
            </w:r>
          </w:p>
        </w:tc>
        <w:tc>
          <w:tcPr>
            <w:tcW w:w="2553"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918" w:type="dxa"/>
            <w:noWrap/>
            <w:vAlign w:val="center"/>
          </w:tcPr>
          <w:p>
            <w:pPr>
              <w:shd w:val="clear"/>
              <w:adjustRightInd w:val="0"/>
              <w:snapToGrid w:val="0"/>
              <w:spacing w:after="0"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553"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下浮系数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w:t>
            </w:r>
          </w:p>
        </w:tc>
        <w:tc>
          <w:tcPr>
            <w:tcW w:w="2553"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553"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p>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1.本项目总价及分项报价均不接受任何形式的赠送、“零”报价和折扣报价。</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2.本项目执行中所发生的所有费用均计入总报价中，采购人不再另行支付其他任何费用。</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3.供应商应根据《采购文件-技术部分》相关要求填报。</w:t>
      </w:r>
    </w:p>
    <w:p>
      <w:pPr>
        <w:shd w:val="clear"/>
        <w:topLinePunct/>
        <w:autoSpaceDE w:val="0"/>
        <w:autoSpaceDN w:val="0"/>
        <w:adjustRightInd w:val="0"/>
        <w:snapToGrid w:val="0"/>
        <w:spacing w:before="0" w:beforeAutospacing="0" w:after="0" w:afterAutospacing="0" w:line="360" w:lineRule="auto"/>
        <w:ind w:firstLine="525" w:firstLineChars="250"/>
        <w:jc w:val="left"/>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38" w:name="_Toc5884"/>
      <w:r>
        <w:rPr>
          <w:rFonts w:hint="eastAsia" w:ascii="宋体" w:hAnsi="宋体" w:eastAsia="宋体" w:cs="宋体"/>
          <w:b/>
          <w:bCs/>
          <w:color w:val="000000" w:themeColor="text1"/>
          <w:sz w:val="28"/>
          <w:szCs w:val="28"/>
          <w:highlight w:val="none"/>
          <w14:textFill>
            <w14:solidFill>
              <w14:schemeClr w14:val="tx1"/>
            </w14:solidFill>
          </w14:textFill>
        </w:rPr>
        <w:t>2.分项报价表</w:t>
      </w:r>
      <w:bookmarkEnd w:id="38"/>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39" w:name="_Toc9170"/>
      <w:r>
        <w:rPr>
          <w:rFonts w:hint="eastAsia" w:ascii="宋体" w:hAnsi="宋体" w:eastAsia="宋体" w:cs="宋体"/>
          <w:b/>
          <w:bCs/>
          <w:color w:val="000000" w:themeColor="text1"/>
          <w:sz w:val="28"/>
          <w:szCs w:val="28"/>
          <w:highlight w:val="none"/>
          <w14:textFill>
            <w14:solidFill>
              <w14:schemeClr w14:val="tx1"/>
            </w14:solidFill>
          </w14:textFill>
        </w:rPr>
        <w:t>2.1 分项报价表</w:t>
      </w:r>
      <w:bookmarkEnd w:id="39"/>
    </w:p>
    <w:p>
      <w:pPr>
        <w:shd w:val="clear"/>
        <w:topLinePunct/>
        <w:autoSpaceDE w:val="0"/>
        <w:autoSpaceDN w:val="0"/>
        <w:adjustRightInd w:val="0"/>
        <w:snapToGrid w:val="0"/>
        <w:spacing w:before="0" w:beforeAutospacing="0" w:after="0" w:afterAutospacing="0" w:line="360" w:lineRule="auto"/>
        <w:ind w:left="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（服务类项目适用）</w:t>
      </w:r>
    </w:p>
    <w:p>
      <w:pPr>
        <w:shd w:val="clear"/>
        <w:topLinePunct/>
        <w:autoSpaceDE w:val="0"/>
        <w:autoSpaceDN w:val="0"/>
        <w:adjustRightInd w:val="0"/>
        <w:snapToGrid w:val="0"/>
        <w:spacing w:before="0" w:beforeAutospacing="0" w:after="0" w:afterAutospacing="0"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p>
      <w:pPr>
        <w:shd w:val="clear"/>
        <w:adjustRightInd w:val="0"/>
        <w:snapToGrid w:val="0"/>
        <w:spacing w:before="0" w:beforeAutospacing="0" w:after="0" w:afterAutospacing="0" w:line="360" w:lineRule="auto"/>
        <w:ind w:right="840"/>
        <w:rPr>
          <w:rFonts w:hint="eastAsia" w:ascii="宋体" w:hAnsi="宋体" w:eastAsia="宋体" w:cs="宋体"/>
          <w:bCs/>
          <w:color w:val="000000" w:themeColor="text1"/>
          <w:w w:val="15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采购包号：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tbl>
      <w:tblPr>
        <w:tblStyle w:val="7"/>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4918" w:type="dxa"/>
            <w:noWrap/>
            <w:vAlign w:val="center"/>
          </w:tcPr>
          <w:p>
            <w:pPr>
              <w:shd w:val="clear"/>
              <w:autoSpaceDN/>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内容</w:t>
            </w:r>
          </w:p>
        </w:tc>
        <w:tc>
          <w:tcPr>
            <w:tcW w:w="2553" w:type="dxa"/>
            <w:noWrap/>
            <w:vAlign w:val="center"/>
          </w:tcPr>
          <w:p>
            <w:pPr>
              <w:shd w:val="clear"/>
              <w:autoSpaceDN/>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918" w:type="dxa"/>
            <w:noWrap/>
            <w:vAlign w:val="center"/>
          </w:tcPr>
          <w:p>
            <w:pPr>
              <w:shd w:val="clear"/>
              <w:adjustRightInd w:val="0"/>
              <w:snapToGrid w:val="0"/>
              <w:spacing w:after="0"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553"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下浮系数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w:t>
            </w:r>
          </w:p>
        </w:tc>
        <w:tc>
          <w:tcPr>
            <w:tcW w:w="2553"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553" w:type="dxa"/>
            <w:noWrap/>
            <w:vAlign w:val="center"/>
          </w:tcPr>
          <w:p>
            <w:pPr>
              <w:shd w:val="clear"/>
              <w:adjustRightInd w:val="0"/>
              <w:snapToGrid w:val="0"/>
              <w:spacing w:before="62" w:beforeLines="20" w:after="62" w:afterLines="2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1.本项目总价及分项报价均不接受任何形式的赠送、“零”报价和折扣报价。</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2.本表中小计=数量×单价。</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3.本表仅供参考，可扩展。</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授权代表（签字或盖章）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spacing w:before="0" w:beforeAutospacing="0" w:after="0" w:afterAutospacing="0" w:line="24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spacing w:before="0" w:beforeAutospacing="0" w:after="0" w:afterAutospacing="0" w:line="240" w:lineRule="auto"/>
        <w:ind w:firstLine="422" w:firstLineChars="20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br w:type="page"/>
      </w:r>
      <w:bookmarkStart w:id="40" w:name="_Toc8334"/>
      <w:r>
        <w:rPr>
          <w:rFonts w:hint="eastAsia" w:ascii="宋体" w:hAnsi="宋体" w:eastAsia="宋体" w:cs="宋体"/>
          <w:b/>
          <w:bCs/>
          <w:color w:val="000000" w:themeColor="text1"/>
          <w:sz w:val="28"/>
          <w:szCs w:val="28"/>
          <w:highlight w:val="none"/>
          <w14:textFill>
            <w14:solidFill>
              <w14:schemeClr w14:val="tx1"/>
            </w14:solidFill>
          </w14:textFill>
        </w:rPr>
        <w:t>格式4  商务条款偏离表</w:t>
      </w:r>
      <w:bookmarkEnd w:id="40"/>
    </w:p>
    <w:p>
      <w:pPr>
        <w:shd w:val="clea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4-1  商务条款偏离表</w:t>
      </w:r>
    </w:p>
    <w:tbl>
      <w:tblPr>
        <w:tblStyle w:val="7"/>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99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采购文件条目号</w:t>
            </w:r>
          </w:p>
        </w:tc>
        <w:tc>
          <w:tcPr>
            <w:tcW w:w="15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采购文件</w:t>
            </w:r>
          </w:p>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商务条款</w:t>
            </w:r>
          </w:p>
        </w:tc>
        <w:tc>
          <w:tcPr>
            <w:tcW w:w="15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响应文件</w:t>
            </w:r>
          </w:p>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商务条款</w:t>
            </w:r>
          </w:p>
        </w:tc>
        <w:tc>
          <w:tcPr>
            <w:tcW w:w="174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偏离</w:t>
            </w:r>
          </w:p>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（无/正/负）</w:t>
            </w:r>
          </w:p>
        </w:tc>
        <w:tc>
          <w:tcPr>
            <w:tcW w:w="125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99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99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99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99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99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spacing w:before="62" w:beforeLines="20" w:beforeAutospacing="0" w:after="4" w:afterAutospacing="0" w:line="24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bl>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1.商务条款无需条对条应答，如无偏离，请在此表中填写“无偏离”；如有偏离，请在此表中应答为“正/负偏离”并说明偏离情况。</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2.如《采购文件-商务部分》中有标注★号的，则为实质性要求，必须满足，如应答为“负偏离”，将导致响应无效。</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3.本表可扩展。</w:t>
      </w:r>
    </w:p>
    <w:p>
      <w:pPr>
        <w:shd w:val="clear"/>
        <w:topLinePunct/>
        <w:autoSpaceDE w:val="0"/>
        <w:autoSpaceDN w:val="0"/>
        <w:spacing w:before="0" w:beforeAutospacing="0" w:after="0" w:afterAutospacing="0" w:line="500" w:lineRule="exact"/>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spacing w:before="0" w:beforeAutospacing="0" w:after="0" w:afterAutospacing="0" w:line="240" w:lineRule="auto"/>
        <w:rPr>
          <w:rFonts w:hint="eastAsia" w:ascii="宋体" w:hAnsi="宋体" w:eastAsia="宋体" w:cs="宋体"/>
          <w:b/>
          <w:bCs/>
          <w:color w:val="000000" w:themeColor="text1"/>
          <w:szCs w:val="21"/>
          <w:highlight w:val="none"/>
          <w14:textFill>
            <w14:solidFill>
              <w14:schemeClr w14:val="tx1"/>
            </w14:solidFill>
          </w14:textFill>
        </w:rPr>
      </w:pPr>
    </w:p>
    <w:p>
      <w:pPr>
        <w:shd w:val="clea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pPr>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41" w:name="_Toc30235"/>
      <w:r>
        <w:rPr>
          <w:rFonts w:hint="eastAsia" w:ascii="宋体" w:hAnsi="宋体" w:eastAsia="宋体" w:cs="宋体"/>
          <w:b/>
          <w:bCs/>
          <w:color w:val="000000" w:themeColor="text1"/>
          <w:sz w:val="28"/>
          <w:szCs w:val="28"/>
          <w:highlight w:val="none"/>
          <w14:textFill>
            <w14:solidFill>
              <w14:schemeClr w14:val="tx1"/>
            </w14:solidFill>
          </w14:textFill>
        </w:rPr>
        <w:t>格式5  供应商具备资格证明文件</w:t>
      </w:r>
      <w:bookmarkEnd w:id="41"/>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2" w:name="_Toc25140"/>
      <w:r>
        <w:rPr>
          <w:rFonts w:hint="eastAsia" w:ascii="宋体" w:hAnsi="宋体" w:eastAsia="宋体" w:cs="宋体"/>
          <w:b/>
          <w:bCs/>
          <w:color w:val="000000" w:themeColor="text1"/>
          <w:sz w:val="28"/>
          <w:szCs w:val="28"/>
          <w:highlight w:val="none"/>
          <w14:textFill>
            <w14:solidFill>
              <w14:schemeClr w14:val="tx1"/>
            </w14:solidFill>
          </w14:textFill>
        </w:rPr>
        <w:t>5-1 供应商基本情况</w:t>
      </w:r>
      <w:bookmarkEnd w:id="42"/>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contextualSpacing/>
              <w:jc w:val="center"/>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contextualSpacing/>
              <w:jc w:val="center"/>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contextualSpacing/>
              <w:jc w:val="center"/>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contextualSpacing/>
              <w:jc w:val="center"/>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3"/>
              <w:shd w:val="clear"/>
              <w:jc w:val="center"/>
              <w:rPr>
                <w:rFonts w:hint="eastAsia" w:ascii="宋体" w:hAnsi="宋体" w:eastAsia="宋体" w:cs="宋体"/>
                <w:color w:val="000000" w:themeColor="text1"/>
                <w:highlight w:val="none"/>
                <w14:textFill>
                  <w14:solidFill>
                    <w14:schemeClr w14:val="tx1"/>
                  </w14:solidFill>
                </w14:textFill>
              </w:rPr>
            </w:pPr>
          </w:p>
        </w:tc>
      </w:tr>
    </w:tbl>
    <w:p>
      <w:pPr>
        <w:shd w:val="clear"/>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w:t>
      </w:r>
    </w:p>
    <w:p>
      <w:pPr>
        <w:shd w:val="clear"/>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hd w:val="clear"/>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2.管理关系：是指不具有出资持股关系的其他单位之间存在的管理与被管理关系，如一些上下级关系的事业单位和团体组织。本表所指的管理关系仅限于直接管理关系，不包括间接的管理关系。</w:t>
      </w:r>
    </w:p>
    <w:p>
      <w:pPr>
        <w:shd w:val="clear"/>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3.供应商不存在直接控股股东或管理关系的，则填“无”。</w:t>
      </w:r>
    </w:p>
    <w:p>
      <w:pPr>
        <w:shd w:val="clear"/>
        <w:topLinePunct/>
        <w:autoSpaceDE w:val="0"/>
        <w:autoSpaceDN w:val="0"/>
        <w:spacing w:before="0" w:beforeAutospacing="0" w:after="0" w:afterAutospacing="0" w:line="500" w:lineRule="exact"/>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idowControl/>
        <w:shd w:val="clear"/>
        <w:spacing w:before="0" w:beforeAutospacing="0" w:after="0" w:afterAutospacing="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pPr>
        <w:widowControl/>
        <w:shd w:val="clear"/>
        <w:spacing w:before="0" w:beforeAutospacing="0" w:after="0" w:afterAutospacing="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3" w:name="_Toc20332"/>
      <w:r>
        <w:rPr>
          <w:rFonts w:hint="eastAsia" w:ascii="宋体" w:hAnsi="宋体" w:eastAsia="宋体" w:cs="宋体"/>
          <w:b/>
          <w:bCs/>
          <w:color w:val="000000" w:themeColor="text1"/>
          <w:sz w:val="28"/>
          <w:szCs w:val="28"/>
          <w:highlight w:val="none"/>
          <w14:textFill>
            <w14:solidFill>
              <w14:schemeClr w14:val="tx1"/>
            </w14:solidFill>
          </w14:textFill>
        </w:rPr>
        <w:t>5-2 财务状况报告</w:t>
      </w:r>
      <w:bookmarkEnd w:id="43"/>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根据资格条件要求提供相应材料。</w:t>
      </w:r>
    </w:p>
    <w:p>
      <w:pPr>
        <w:shd w:val="clear"/>
        <w:spacing w:before="0" w:beforeAutospacing="0" w:after="0" w:afterAutospacing="0" w:line="240" w:lineRule="auto"/>
        <w:jc w:val="center"/>
        <w:outlineLvl w:val="2"/>
        <w:rPr>
          <w:rFonts w:hint="default" w:ascii="宋体" w:hAnsi="宋体" w:eastAsia="宋体" w:cs="宋体"/>
          <w:b/>
          <w:bCs/>
          <w:color w:val="000000" w:themeColor="text1"/>
          <w:sz w:val="28"/>
          <w:szCs w:val="28"/>
          <w:highlight w:val="yellow"/>
          <w:lang w:val="en-US" w:eastAsia="zh-CN"/>
          <w14:textFill>
            <w14:solidFill>
              <w14:schemeClr w14:val="tx1"/>
            </w14:solidFill>
          </w14:textFill>
        </w:rPr>
      </w:pPr>
      <w:r>
        <w:rPr>
          <w:rFonts w:hint="eastAsia" w:ascii="宋体" w:hAnsi="宋体" w:eastAsia="宋体" w:cs="宋体"/>
          <w:b/>
          <w:bCs/>
          <w:color w:val="000000" w:themeColor="text1"/>
          <w:sz w:val="28"/>
          <w:szCs w:val="28"/>
          <w:highlight w:val="yellow"/>
          <w14:textFill>
            <w14:solidFill>
              <w14:schemeClr w14:val="tx1"/>
            </w14:solidFill>
          </w14:textFill>
        </w:rPr>
        <w:t>5-</w:t>
      </w:r>
      <w:r>
        <w:rPr>
          <w:rFonts w:hint="eastAsia" w:ascii="宋体" w:hAnsi="宋体" w:cs="宋体"/>
          <w:b/>
          <w:bCs/>
          <w:color w:val="000000" w:themeColor="text1"/>
          <w:sz w:val="28"/>
          <w:szCs w:val="28"/>
          <w:highlight w:val="yellow"/>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yellow"/>
          <w14:textFill>
            <w14:solidFill>
              <w14:schemeClr w14:val="tx1"/>
            </w14:solidFill>
          </w14:textFill>
        </w:rPr>
        <w:t xml:space="preserve"> </w:t>
      </w:r>
      <w:r>
        <w:rPr>
          <w:rFonts w:hint="eastAsia" w:ascii="宋体" w:hAnsi="宋体" w:cs="宋体"/>
          <w:b/>
          <w:bCs/>
          <w:color w:val="000000" w:themeColor="text1"/>
          <w:sz w:val="28"/>
          <w:szCs w:val="28"/>
          <w:highlight w:val="yellow"/>
          <w:lang w:val="en-US" w:eastAsia="zh-CN"/>
          <w14:textFill>
            <w14:solidFill>
              <w14:schemeClr w14:val="tx1"/>
            </w14:solidFill>
          </w14:textFill>
        </w:rPr>
        <w:t>财务状况声明（如需）</w:t>
      </w:r>
    </w:p>
    <w:p>
      <w:pPr>
        <w:shd w:val="clear"/>
        <w:topLinePunct/>
        <w:autoSpaceDE w:val="0"/>
        <w:autoSpaceDN w:val="0"/>
        <w:snapToGrid w:val="0"/>
        <w:spacing w:before="0" w:beforeAutospacing="0" w:after="0" w:afterAutospacing="0" w:line="360" w:lineRule="auto"/>
        <w:jc w:val="center"/>
        <w:rPr>
          <w:rFonts w:hint="eastAsia" w:ascii="宋体" w:hAnsi="宋体" w:eastAsia="宋体" w:cs="宋体"/>
          <w:b/>
          <w:color w:val="000000" w:themeColor="text1"/>
          <w:w w:val="150"/>
          <w:szCs w:val="21"/>
          <w:highlight w:val="yellow"/>
          <w14:textFill>
            <w14:solidFill>
              <w14:schemeClr w14:val="tx1"/>
            </w14:solidFill>
          </w14:textFill>
        </w:rPr>
      </w:pPr>
    </w:p>
    <w:p>
      <w:pPr>
        <w:shd w:val="clear"/>
        <w:snapToGrid w:val="0"/>
        <w:spacing w:before="0" w:beforeAutospacing="0" w:after="0" w:afterAutospacing="0" w:line="360" w:lineRule="auto"/>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yellow"/>
          <w14:textFill>
            <w14:solidFill>
              <w14:schemeClr w14:val="tx1"/>
            </w14:solidFill>
          </w14:textFill>
        </w:rPr>
        <w:t>致________（采购人或采购代理机构）：</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yellow"/>
          <w14:textFill>
            <w14:solidFill>
              <w14:schemeClr w14:val="tx1"/>
            </w14:solidFill>
          </w14:textFill>
        </w:rPr>
        <w:t>我单位</w:t>
      </w:r>
      <w:r>
        <w:rPr>
          <w:rFonts w:hint="eastAsia" w:ascii="宋体" w:hAnsi="宋体" w:cs="宋体"/>
          <w:color w:val="000000" w:themeColor="text1"/>
          <w:szCs w:val="21"/>
          <w:highlight w:val="yellow"/>
          <w:lang w:val="en-US" w:eastAsia="zh-CN"/>
          <w14:textFill>
            <w14:solidFill>
              <w14:schemeClr w14:val="tx1"/>
            </w14:solidFill>
          </w14:textFill>
        </w:rPr>
        <w:t>不存在银行账户被冻结或被限制、连续6个月以上亏损且经营活动现金流持续为负、到期债务无法偿还等可能影响履约能力的不良财务状况</w:t>
      </w:r>
      <w:r>
        <w:rPr>
          <w:rFonts w:hint="eastAsia" w:ascii="宋体" w:hAnsi="宋体" w:eastAsia="宋体" w:cs="宋体"/>
          <w:color w:val="000000" w:themeColor="text1"/>
          <w:szCs w:val="21"/>
          <w:highlight w:val="yellow"/>
          <w14:textFill>
            <w14:solidFill>
              <w14:schemeClr w14:val="tx1"/>
            </w14:solidFill>
          </w14:textFill>
        </w:rPr>
        <w:t>。</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yellow"/>
          <w14:textFill>
            <w14:solidFill>
              <w14:schemeClr w14:val="tx1"/>
            </w14:solidFill>
          </w14:textFill>
        </w:rPr>
        <w:t>特此声明！</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yellow"/>
          <w14:textFill>
            <w14:solidFill>
              <w14:schemeClr w14:val="tx1"/>
            </w14:solidFill>
          </w14:textFill>
        </w:rPr>
        <w:t>（请供应商根据实际情况如实声明，否则视为提供虚假材料。）</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yellow"/>
          <w14:textFill>
            <w14:solidFill>
              <w14:schemeClr w14:val="tx1"/>
            </w14:solidFill>
          </w14:textFill>
        </w:rPr>
        <w:t>供应商</w:t>
      </w:r>
      <w:r>
        <w:rPr>
          <w:rFonts w:hint="eastAsia" w:ascii="宋体" w:hAnsi="宋体" w:eastAsia="宋体" w:cs="宋体"/>
          <w:color w:val="000000" w:themeColor="text1"/>
          <w:kern w:val="0"/>
          <w:szCs w:val="21"/>
          <w:highlight w:val="yellow"/>
          <w14:textFill>
            <w14:solidFill>
              <w14:schemeClr w14:val="tx1"/>
            </w14:solidFill>
          </w14:textFill>
        </w:rPr>
        <w:t>（全称并加盖公章</w:t>
      </w:r>
      <w:r>
        <w:rPr>
          <w:rFonts w:hint="eastAsia" w:ascii="宋体" w:hAnsi="宋体" w:eastAsia="宋体" w:cs="宋体"/>
          <w:color w:val="000000" w:themeColor="text1"/>
          <w:szCs w:val="21"/>
          <w:highlight w:val="yellow"/>
          <w14:textFill>
            <w14:solidFill>
              <w14:schemeClr w14:val="tx1"/>
            </w14:solidFill>
          </w14:textFill>
        </w:rPr>
        <w:t>）：</w:t>
      </w:r>
      <w:r>
        <w:rPr>
          <w:rFonts w:hint="eastAsia" w:ascii="宋体" w:hAnsi="宋体" w:eastAsia="宋体" w:cs="宋体"/>
          <w:color w:val="000000" w:themeColor="text1"/>
          <w:szCs w:val="21"/>
          <w:highlight w:val="yellow"/>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授权代表（签字）</w:t>
      </w:r>
      <w:r>
        <w:rPr>
          <w:rFonts w:hint="eastAsia" w:ascii="宋体" w:hAnsi="宋体" w:eastAsia="宋体" w:cs="宋体"/>
          <w:color w:val="000000" w:themeColor="text1"/>
          <w:szCs w:val="21"/>
          <w:highlight w:val="yellow"/>
          <w14:textFill>
            <w14:solidFill>
              <w14:schemeClr w14:val="tx1"/>
            </w14:solidFill>
          </w14:textFill>
        </w:rPr>
        <w:t>：</w:t>
      </w:r>
      <w:r>
        <w:rPr>
          <w:rFonts w:hint="eastAsia" w:ascii="宋体" w:hAnsi="宋体" w:eastAsia="宋体" w:cs="宋体"/>
          <w:color w:val="000000" w:themeColor="text1"/>
          <w:szCs w:val="21"/>
          <w:highlight w:val="yellow"/>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yellow"/>
          <w14:textFill>
            <w14:solidFill>
              <w14:schemeClr w14:val="tx1"/>
            </w14:solidFill>
          </w14:textFill>
        </w:rPr>
        <w:t>日期：</w:t>
      </w:r>
      <w:r>
        <w:rPr>
          <w:rFonts w:hint="eastAsia" w:ascii="宋体" w:hAnsi="宋体" w:eastAsia="宋体" w:cs="宋体"/>
          <w:color w:val="000000" w:themeColor="text1"/>
          <w:szCs w:val="21"/>
          <w:highlight w:val="yellow"/>
          <w:u w:val="single"/>
          <w14:textFill>
            <w14:solidFill>
              <w14:schemeClr w14:val="tx1"/>
            </w14:solidFill>
          </w14:textFill>
        </w:rPr>
        <w:t xml:space="preserve">                                 </w:t>
      </w: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240" w:lineRule="auto"/>
        <w:ind w:firstLine="0"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4" w:name="_Toc2853"/>
      <w:r>
        <w:rPr>
          <w:rFonts w:hint="eastAsia" w:ascii="宋体" w:hAnsi="宋体" w:eastAsia="宋体" w:cs="宋体"/>
          <w:b/>
          <w:bCs/>
          <w:color w:val="000000" w:themeColor="text1"/>
          <w:sz w:val="28"/>
          <w:szCs w:val="28"/>
          <w:highlight w:val="none"/>
          <w14:textFill>
            <w14:solidFill>
              <w14:schemeClr w14:val="tx1"/>
            </w14:solidFill>
          </w14:textFill>
        </w:rPr>
        <w:t>5-3依法缴纳税收的相关材料</w:t>
      </w:r>
      <w:bookmarkEnd w:id="44"/>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根据资格条件要求提供相应材料。</w:t>
      </w: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5" w:name="_Toc17930"/>
      <w:r>
        <w:rPr>
          <w:rFonts w:hint="eastAsia" w:ascii="宋体" w:hAnsi="宋体" w:eastAsia="宋体" w:cs="宋体"/>
          <w:b/>
          <w:bCs/>
          <w:color w:val="000000" w:themeColor="text1"/>
          <w:sz w:val="28"/>
          <w:szCs w:val="28"/>
          <w:highlight w:val="none"/>
          <w14:textFill>
            <w14:solidFill>
              <w14:schemeClr w14:val="tx1"/>
            </w14:solidFill>
          </w14:textFill>
        </w:rPr>
        <w:t>5-4 依法缴纳社会保障资金的相关材料</w:t>
      </w:r>
      <w:bookmarkEnd w:id="45"/>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根据资格条件要求提供相应材料。</w:t>
      </w: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6" w:name="_Toc8861"/>
      <w:r>
        <w:rPr>
          <w:rFonts w:hint="eastAsia" w:ascii="宋体" w:hAnsi="宋体" w:eastAsia="宋体" w:cs="宋体"/>
          <w:b/>
          <w:bCs/>
          <w:color w:val="000000" w:themeColor="text1"/>
          <w:sz w:val="28"/>
          <w:szCs w:val="28"/>
          <w:highlight w:val="none"/>
          <w14:textFill>
            <w14:solidFill>
              <w14:schemeClr w14:val="tx1"/>
            </w14:solidFill>
          </w14:textFill>
        </w:rPr>
        <w:t>5-5 具备履行合同所必需的设备和专业技术能力的证明材料</w:t>
      </w:r>
      <w:bookmarkEnd w:id="46"/>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根据资格条件要求提供相应材料。</w:t>
      </w: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Start w:id="47" w:name="_Toc7884"/>
      <w:r>
        <w:rPr>
          <w:rFonts w:hint="eastAsia" w:ascii="宋体" w:hAnsi="宋体" w:eastAsia="宋体" w:cs="宋体"/>
          <w:b/>
          <w:bCs/>
          <w:color w:val="000000" w:themeColor="text1"/>
          <w:sz w:val="28"/>
          <w:szCs w:val="28"/>
          <w:highlight w:val="none"/>
          <w14:textFill>
            <w14:solidFill>
              <w14:schemeClr w14:val="tx1"/>
            </w14:solidFill>
          </w14:textFill>
        </w:rPr>
        <w:t>5-6 参加本次采购活动前三年内在经营活动中</w:t>
      </w:r>
      <w:r>
        <w:rPr>
          <w:rFonts w:hint="eastAsia" w:ascii="宋体" w:hAnsi="宋体" w:eastAsia="宋体" w:cs="宋体"/>
          <w:b/>
          <w:bCs/>
          <w:color w:val="000000" w:themeColor="text1"/>
          <w:sz w:val="28"/>
          <w:szCs w:val="28"/>
          <w:highlight w:val="none"/>
          <w14:textFill>
            <w14:solidFill>
              <w14:schemeClr w14:val="tx1"/>
            </w14:solidFill>
          </w14:textFill>
        </w:rPr>
        <w:br w:type="textWrapping"/>
      </w:r>
      <w:r>
        <w:rPr>
          <w:rFonts w:hint="eastAsia" w:ascii="宋体" w:hAnsi="宋体" w:eastAsia="宋体" w:cs="宋体"/>
          <w:b/>
          <w:bCs/>
          <w:color w:val="000000" w:themeColor="text1"/>
          <w:sz w:val="28"/>
          <w:szCs w:val="28"/>
          <w:highlight w:val="none"/>
          <w14:textFill>
            <w14:solidFill>
              <w14:schemeClr w14:val="tx1"/>
            </w14:solidFill>
          </w14:textFill>
        </w:rPr>
        <w:t>没有重大违法记录的书面声明</w:t>
      </w:r>
      <w:bookmarkEnd w:id="47"/>
    </w:p>
    <w:p>
      <w:pPr>
        <w:shd w:val="clear"/>
        <w:topLinePunct/>
        <w:autoSpaceDE w:val="0"/>
        <w:autoSpaceDN w:val="0"/>
        <w:snapToGrid w:val="0"/>
        <w:spacing w:before="0" w:beforeAutospacing="0" w:after="0" w:afterAutospacing="0" w:line="360" w:lineRule="auto"/>
        <w:jc w:val="center"/>
        <w:rPr>
          <w:rFonts w:hint="eastAsia" w:ascii="宋体" w:hAnsi="宋体" w:eastAsia="宋体" w:cs="宋体"/>
          <w:b/>
          <w:color w:val="000000" w:themeColor="text1"/>
          <w:w w:val="150"/>
          <w:szCs w:val="21"/>
          <w:highlight w:val="none"/>
          <w14:textFill>
            <w14:solidFill>
              <w14:schemeClr w14:val="tx1"/>
            </w14:solidFill>
          </w14:textFill>
        </w:rPr>
      </w:pPr>
    </w:p>
    <w:p>
      <w:pPr>
        <w:shd w:val="clear"/>
        <w:snapToGrid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致________（采购人或采购代理机构）：</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我单位在参加本次采购活动前三年内在经营活动中没有《中华人民共和国政府采购法》第二十二条第一款第（五）项所称重大违法记录，包括：</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我单位未因经营活动中的违法行为受到刑事处罚或者责令停产停业、吊销许可证或者执照、较大数额罚款等行政处罚。</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特此声明！</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（请供应商根据实际情况如实声明，否则视为提供虚假材料。）</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spacing w:before="0" w:beforeAutospacing="0" w:after="0" w:afterAutospacing="0" w:line="240" w:lineRule="auto"/>
        <w:jc w:val="center"/>
        <w:outlineLvl w:val="2"/>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48" w:name="_Toc1911"/>
      <w:r>
        <w:rPr>
          <w:rFonts w:hint="eastAsia" w:ascii="宋体" w:hAnsi="宋体" w:eastAsia="宋体" w:cs="宋体"/>
          <w:b/>
          <w:bCs/>
          <w:color w:val="000000" w:themeColor="text1"/>
          <w:sz w:val="28"/>
          <w:szCs w:val="28"/>
          <w:highlight w:val="none"/>
          <w14:textFill>
            <w14:solidFill>
              <w14:schemeClr w14:val="tx1"/>
            </w14:solidFill>
          </w14:textFill>
        </w:rPr>
        <w:t>5-7 具备法律、行政法规规定的其他条件的证明材料</w:t>
      </w:r>
      <w:bookmarkEnd w:id="48"/>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根据资格条件要求提供相应材料。</w:t>
      </w:r>
    </w:p>
    <w:p>
      <w:pPr>
        <w:shd w:val="clear"/>
        <w:spacing w:before="0" w:beforeAutospacing="0" w:after="0" w:afterAutospacing="0" w:line="240" w:lineRule="auto"/>
        <w:jc w:val="center"/>
        <w:outlineLvl w:val="2"/>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Start w:id="49" w:name="_Toc15614"/>
      <w:r>
        <w:rPr>
          <w:rFonts w:hint="eastAsia" w:ascii="宋体" w:hAnsi="宋体" w:eastAsia="宋体" w:cs="宋体"/>
          <w:b/>
          <w:bCs/>
          <w:color w:val="000000" w:themeColor="text1"/>
          <w:sz w:val="28"/>
          <w:szCs w:val="28"/>
          <w:highlight w:val="none"/>
          <w14:textFill>
            <w14:solidFill>
              <w14:schemeClr w14:val="tx1"/>
            </w14:solidFill>
          </w14:textFill>
        </w:rPr>
        <w:t>5-8 联合体协议（若有）</w:t>
      </w:r>
      <w:bookmarkEnd w:id="49"/>
    </w:p>
    <w:p>
      <w:pPr>
        <w:shd w:val="clear"/>
        <w:topLinePunct/>
        <w:autoSpaceDE w:val="0"/>
        <w:autoSpaceDN w:val="0"/>
        <w:snapToGrid w:val="0"/>
        <w:spacing w:before="0" w:beforeAutospacing="0" w:after="0" w:afterAutospacing="0" w:line="360" w:lineRule="auto"/>
        <w:jc w:val="center"/>
        <w:rPr>
          <w:rFonts w:hint="eastAsia" w:ascii="宋体" w:hAnsi="宋体" w:eastAsia="宋体" w:cs="宋体"/>
          <w:b/>
          <w:color w:val="000000" w:themeColor="text1"/>
          <w:w w:val="150"/>
          <w:sz w:val="24"/>
          <w:szCs w:val="21"/>
          <w:highlight w:val="none"/>
          <w14:textFill>
            <w14:solidFill>
              <w14:schemeClr w14:val="tx1"/>
            </w14:solidFill>
          </w14:textFill>
        </w:rPr>
      </w:pPr>
    </w:p>
    <w:p>
      <w:pPr>
        <w:shd w:val="clear"/>
        <w:snapToGrid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致________（采购人或采购代理机构）：</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经研究，我方决定自愿组成联合体共同参加____________（项目名称、项目编号）项目的磋商。</w:t>
      </w:r>
      <w:r>
        <w:rPr>
          <w:rFonts w:hint="eastAsia" w:ascii="宋体" w:hAnsi="宋体" w:eastAsia="宋体" w:cs="宋体"/>
          <w:color w:val="000000" w:themeColor="text1"/>
          <w:kern w:val="0"/>
          <w:szCs w:val="21"/>
          <w:highlight w:val="none"/>
          <w14:textFill>
            <w14:solidFill>
              <w14:schemeClr w14:val="tx1"/>
            </w14:solidFill>
          </w14:textFill>
        </w:rPr>
        <w:t>现就联合体参加本项目磋商的有关</w:t>
      </w:r>
      <w:r>
        <w:rPr>
          <w:rFonts w:hint="eastAsia" w:ascii="宋体" w:hAnsi="宋体" w:eastAsia="宋体" w:cs="宋体"/>
          <w:color w:val="000000" w:themeColor="text1"/>
          <w:szCs w:val="21"/>
          <w:highlight w:val="none"/>
          <w14:textFill>
            <w14:solidFill>
              <w14:schemeClr w14:val="tx1"/>
            </w14:solidFill>
          </w14:textFill>
        </w:rPr>
        <w:t>事宜订立如下协议：</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一、联合体成员：</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1.____________________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2.____________________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3.____________________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二、____________（某成员单位名称）为____________（联合体名称）牵头人。</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四、联合体将严格按照采购文件的各项要求，递交响应文件，参加磋商，履行成交义务和成交后的合同，并向采购人承担连带责任。</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五、联合体各成员单位内部的职责分工如下：____________。按照本条上述分工，联合体成员单位各自所承担的合同工作量比例如下：____________。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六、本协议书自签署之日起生效，合同履行完毕后自动失效。</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七、本协议书一式______份，联合体成员和采购人各执一份。</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牵头人名称（公章）：____________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法定代表人或其授权代表（签字）：____________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成员名称（公章）：____________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法定代表人或其授权代表（签字）：____________</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______年____月____日</w:t>
      </w: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备注：本协议书由授权代表签字的，应附法定代表人签字的授权委托书。</w:t>
      </w: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50" w:name="_Toc30787"/>
      <w:r>
        <w:rPr>
          <w:rFonts w:hint="eastAsia" w:ascii="宋体" w:hAnsi="宋体" w:eastAsia="宋体" w:cs="宋体"/>
          <w:b/>
          <w:bCs/>
          <w:color w:val="000000" w:themeColor="text1"/>
          <w:sz w:val="28"/>
          <w:szCs w:val="28"/>
          <w:highlight w:val="none"/>
          <w14:textFill>
            <w14:solidFill>
              <w14:schemeClr w14:val="tx1"/>
            </w14:solidFill>
          </w14:textFill>
        </w:rPr>
        <w:t>5-9 其他资格证明文件（若有）</w:t>
      </w:r>
      <w:bookmarkEnd w:id="50"/>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根据资格条件要求提供相应材料。</w:t>
      </w:r>
    </w:p>
    <w:p>
      <w:pPr>
        <w:shd w:val="clear"/>
        <w:spacing w:before="0" w:beforeAutospacing="0" w:after="0" w:afterAutospacing="0" w:line="24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Start w:id="51" w:name="_Toc29594"/>
      <w:r>
        <w:rPr>
          <w:rFonts w:hint="eastAsia" w:ascii="宋体" w:hAnsi="宋体" w:eastAsia="宋体" w:cs="宋体"/>
          <w:b/>
          <w:bCs/>
          <w:color w:val="000000" w:themeColor="text1"/>
          <w:sz w:val="28"/>
          <w:szCs w:val="28"/>
          <w:highlight w:val="none"/>
          <w14:textFill>
            <w14:solidFill>
              <w14:schemeClr w14:val="tx1"/>
            </w14:solidFill>
          </w14:textFill>
        </w:rPr>
        <w:t>格式6  中小企业声明函</w:t>
      </w:r>
      <w:bookmarkEnd w:id="51"/>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52" w:name="_Toc30737"/>
      <w:r>
        <w:rPr>
          <w:rFonts w:hint="eastAsia" w:ascii="宋体" w:hAnsi="宋体" w:eastAsia="宋体" w:cs="宋体"/>
          <w:b/>
          <w:bCs/>
          <w:color w:val="000000" w:themeColor="text1"/>
          <w:sz w:val="28"/>
          <w:szCs w:val="28"/>
          <w:highlight w:val="none"/>
          <w14:textFill>
            <w14:solidFill>
              <w14:schemeClr w14:val="tx1"/>
            </w14:solidFill>
          </w14:textFill>
        </w:rPr>
        <w:t>中小企业声明函（工程、服务）</w:t>
      </w:r>
      <w:bookmarkEnd w:id="52"/>
    </w:p>
    <w:p>
      <w:pPr>
        <w:widowControl/>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国家税务总局柳州市城中区税务局</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国家税务总局柳州市城中区税务局拍卖服务机构采购（重）</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u w:val="single"/>
          <w14:textFill>
            <w14:solidFill>
              <w14:schemeClr w14:val="tx1"/>
            </w14:solidFill>
          </w14:textFill>
        </w:rPr>
        <w:t>国家税务总局柳州市城中区税务局拍卖服务机构采购（重）</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lang w:eastAsia="zh-CN"/>
          <w14:textFill>
            <w14:solidFill>
              <w14:schemeClr w14:val="tx1"/>
            </w14:solidFill>
          </w14:textFill>
        </w:rPr>
        <w:t>批发业</w:t>
      </w:r>
      <w:r>
        <w:rPr>
          <w:rFonts w:hint="eastAsia" w:ascii="宋体" w:hAnsi="宋体" w:eastAsia="宋体" w:cs="宋体"/>
          <w:color w:val="000000" w:themeColor="text1"/>
          <w:szCs w:val="21"/>
          <w:highlight w:val="none"/>
          <w14:textFill>
            <w14:solidFill>
              <w14:schemeClr w14:val="tx1"/>
            </w14:solidFill>
          </w14:textFill>
        </w:rPr>
        <w:t>；承接企业为</w:t>
      </w:r>
      <w:r>
        <w:rPr>
          <w:rFonts w:hint="eastAsia" w:ascii="宋体" w:hAnsi="宋体" w:eastAsia="宋体" w:cs="宋体"/>
          <w:i/>
          <w:iCs/>
          <w:color w:val="000000" w:themeColor="text1"/>
          <w:szCs w:val="21"/>
          <w:highlight w:val="none"/>
          <w:u w:val="single"/>
          <w14:textFill>
            <w14:solidFill>
              <w14:schemeClr w14:val="tx1"/>
            </w14:solidFill>
          </w14:textFill>
        </w:rPr>
        <w:t>（企业名称）</w:t>
      </w:r>
      <w:r>
        <w:rPr>
          <w:rFonts w:hint="eastAsia" w:ascii="宋体" w:hAnsi="宋体" w:eastAsia="宋体" w:cs="宋体"/>
          <w:color w:val="000000" w:themeColor="text1"/>
          <w:szCs w:val="21"/>
          <w:highlight w:val="none"/>
          <w14:textFill>
            <w14:solidFill>
              <w14:schemeClr w14:val="tx1"/>
            </w14:solidFill>
          </w14:textFill>
        </w:rPr>
        <w:t>，从业人员</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人，营业收入为</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万元，资产总额为</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w:t>
      </w:r>
      <w:r>
        <w:rPr>
          <w:rFonts w:hint="eastAsia" w:ascii="宋体" w:hAnsi="宋体" w:eastAsia="宋体" w:cs="宋体"/>
          <w:color w:val="000000" w:themeColor="text1"/>
          <w:szCs w:val="21"/>
          <w:highlight w:val="none"/>
          <w:vertAlign w:val="superscript"/>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i/>
          <w:iCs/>
          <w:color w:val="000000" w:themeColor="text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Cs w:val="21"/>
          <w:highlight w:val="none"/>
          <w14:textFill>
            <w14:solidFill>
              <w14:schemeClr w14:val="tx1"/>
            </w14:solidFill>
          </w14:textFill>
        </w:rPr>
        <w:t xml:space="preserve">； </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；承建（承接）企业为</w:t>
      </w:r>
      <w:r>
        <w:rPr>
          <w:rFonts w:hint="eastAsia" w:ascii="宋体" w:hAnsi="宋体" w:eastAsia="宋体" w:cs="宋体"/>
          <w:i/>
          <w:iCs/>
          <w:color w:val="000000" w:themeColor="text1"/>
          <w:szCs w:val="21"/>
          <w:highlight w:val="none"/>
          <w:u w:val="single"/>
          <w14:textFill>
            <w14:solidFill>
              <w14:schemeClr w14:val="tx1"/>
            </w14:solidFill>
          </w14:textFill>
        </w:rPr>
        <w:t>（企业名称）</w:t>
      </w:r>
      <w:r>
        <w:rPr>
          <w:rFonts w:hint="eastAsia" w:ascii="宋体" w:hAnsi="宋体" w:eastAsia="宋体" w:cs="宋体"/>
          <w:color w:val="000000" w:themeColor="text1"/>
          <w:szCs w:val="21"/>
          <w:highlight w:val="none"/>
          <w14:textFill>
            <w14:solidFill>
              <w14:schemeClr w14:val="tx1"/>
            </w14:solidFill>
          </w14:textFill>
        </w:rPr>
        <w:t>，从业人员</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人，营业收入为</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万元，资产总额为</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w:t>
      </w:r>
      <w:r>
        <w:rPr>
          <w:rFonts w:hint="eastAsia" w:ascii="宋体" w:hAnsi="宋体" w:eastAsia="宋体" w:cs="宋体"/>
          <w:color w:val="000000" w:themeColor="text1"/>
          <w:szCs w:val="21"/>
          <w:highlight w:val="none"/>
          <w:vertAlign w:val="superscript"/>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i/>
          <w:iCs/>
          <w:color w:val="000000" w:themeColor="text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Cs w:val="21"/>
          <w:highlight w:val="none"/>
          <w14:textFill>
            <w14:solidFill>
              <w14:schemeClr w14:val="tx1"/>
            </w14:solidFill>
          </w14:textFill>
        </w:rPr>
        <w:t xml:space="preserve">； </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本企业对上述声明内容的真实性负责。如有虚假，将依法承担相应责任。 </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widowControl/>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widowControl/>
        <w:shd w:val="clear"/>
        <w:spacing w:before="0" w:beforeAutospacing="0" w:after="0" w:afterAutospacing="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①</w:t>
      </w:r>
      <w:r>
        <w:rPr>
          <w:rFonts w:hint="eastAsia" w:ascii="宋体" w:hAnsi="宋体" w:eastAsia="宋体" w:cs="宋体"/>
          <w:color w:val="000000" w:themeColor="text1"/>
          <w:kern w:val="0"/>
          <w:sz w:val="18"/>
          <w:szCs w:val="18"/>
          <w:highlight w:val="none"/>
          <w14:textFill>
            <w14:solidFill>
              <w14:schemeClr w14:val="tx1"/>
            </w14:solidFill>
          </w14:textFill>
        </w:rPr>
        <w:t>从业人员、营业收入、资产总额填报上一年度数据，无上一年度数据的新成立企业可不填报。</w:t>
      </w:r>
    </w:p>
    <w:p>
      <w:pPr>
        <w:shd w:val="clear"/>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hd w:val="clear"/>
        <w:spacing w:before="0" w:beforeAutospacing="0" w:after="0" w:afterAutospacing="0" w:line="240" w:lineRule="auto"/>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53" w:name="_Toc19817"/>
      <w:r>
        <w:rPr>
          <w:rFonts w:hint="eastAsia" w:ascii="宋体" w:hAnsi="宋体" w:eastAsia="宋体" w:cs="宋体"/>
          <w:b/>
          <w:bCs/>
          <w:color w:val="000000" w:themeColor="text1"/>
          <w:sz w:val="28"/>
          <w:szCs w:val="28"/>
          <w:highlight w:val="none"/>
          <w14:textFill>
            <w14:solidFill>
              <w14:schemeClr w14:val="tx1"/>
            </w14:solidFill>
          </w14:textFill>
        </w:rPr>
        <w:t>中小微企业划型标准</w:t>
      </w:r>
      <w:bookmarkEnd w:id="53"/>
    </w:p>
    <w:tbl>
      <w:tblPr>
        <w:tblStyle w:val="7"/>
        <w:tblW w:w="0" w:type="auto"/>
        <w:jc w:val="center"/>
        <w:tblLayout w:type="fixed"/>
        <w:tblCellMar>
          <w:top w:w="0" w:type="dxa"/>
          <w:left w:w="108" w:type="dxa"/>
          <w:bottom w:w="0" w:type="dxa"/>
          <w:right w:w="108" w:type="dxa"/>
        </w:tblCellMar>
      </w:tblPr>
      <w:tblGrid>
        <w:gridCol w:w="1230"/>
        <w:gridCol w:w="1440"/>
        <w:gridCol w:w="1155"/>
        <w:gridCol w:w="2073"/>
        <w:gridCol w:w="1649"/>
        <w:gridCol w:w="1070"/>
      </w:tblGrid>
      <w:tr>
        <w:tblPrEx>
          <w:tblCellMar>
            <w:top w:w="0" w:type="dxa"/>
            <w:left w:w="108" w:type="dxa"/>
            <w:bottom w:w="0" w:type="dxa"/>
            <w:right w:w="108" w:type="dxa"/>
          </w:tblCellMar>
        </w:tblPrEx>
        <w:trPr>
          <w:trHeight w:val="33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行业名称</w:t>
            </w:r>
          </w:p>
        </w:tc>
        <w:tc>
          <w:tcPr>
            <w:tcW w:w="1440" w:type="dxa"/>
            <w:tcBorders>
              <w:top w:val="single" w:color="auto" w:sz="4" w:space="0"/>
              <w:left w:val="nil"/>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指标名称</w:t>
            </w:r>
          </w:p>
        </w:tc>
        <w:tc>
          <w:tcPr>
            <w:tcW w:w="1155" w:type="dxa"/>
            <w:tcBorders>
              <w:top w:val="single" w:color="auto" w:sz="4" w:space="0"/>
              <w:left w:val="nil"/>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计量单位</w:t>
            </w:r>
          </w:p>
        </w:tc>
        <w:tc>
          <w:tcPr>
            <w:tcW w:w="2073" w:type="dxa"/>
            <w:tcBorders>
              <w:top w:val="single" w:color="auto" w:sz="4" w:space="0"/>
              <w:left w:val="nil"/>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中型</w:t>
            </w:r>
          </w:p>
        </w:tc>
        <w:tc>
          <w:tcPr>
            <w:tcW w:w="1649" w:type="dxa"/>
            <w:tcBorders>
              <w:top w:val="single" w:color="auto" w:sz="4" w:space="0"/>
              <w:left w:val="nil"/>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小型</w:t>
            </w:r>
          </w:p>
        </w:tc>
        <w:tc>
          <w:tcPr>
            <w:tcW w:w="1070" w:type="dxa"/>
            <w:tcBorders>
              <w:top w:val="single" w:color="auto" w:sz="4" w:space="0"/>
              <w:left w:val="nil"/>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微型</w:t>
            </w:r>
          </w:p>
        </w:tc>
      </w:tr>
      <w:tr>
        <w:tblPrEx>
          <w:tblCellMar>
            <w:top w:w="0" w:type="dxa"/>
            <w:left w:w="108" w:type="dxa"/>
            <w:bottom w:w="0" w:type="dxa"/>
            <w:right w:w="108" w:type="dxa"/>
          </w:tblCellMar>
        </w:tblPrEx>
        <w:trPr>
          <w:trHeight w:val="510" w:hRule="atLeast"/>
          <w:jc w:val="center"/>
        </w:trPr>
        <w:tc>
          <w:tcPr>
            <w:tcW w:w="1230" w:type="dxa"/>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农、林、牧、渔</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500≤Y＜20000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50≤Y＜500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工业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20≤X＜300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2000≤Y＜40000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300≤Y＜2000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建筑业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6000≤Y＜80000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300≤Y＜6000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资产总额（Z）</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5000≤Z＜80000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300≤Z＜5000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Z＜300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批发业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20≤X＜200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5≤X＜20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X＜5</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5000≤Y＜40000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1000≤Y＜5000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零售业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50≤X＜300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10≤X＜50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500≤Y＜20000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100≤Y＜500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交通运输业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20≤X＜300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3000≤Y＜30000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200≤Y＜3000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Y＜200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仓储业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100≤X＜200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20≤X＜100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1000≤Y＜30000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100≤Y＜1000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邮政业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20≤X＜300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2000≤Y＜30000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100≤Y＜2000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住宿业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2000≤Y＜10000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100≤Y＜2000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餐饮业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2000≤Y＜10000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100≤Y＜2000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信息传输业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100≤X＜2000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1000≤Y＜100000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100≤Y＜1000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软件和信息技术服务业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1000≤Y＜10000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50≤Y＜1000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房地产开发经营</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1000≤Y＜200000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100≤X＜1000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资产总额（Z）</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5000≤Z＜10000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2000≤Y＜5000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Y＜2000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物业管理</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1000≤Y＜5000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500≤Y＜1000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Y＜500</w:t>
            </w:r>
          </w:p>
        </w:tc>
      </w:tr>
      <w:tr>
        <w:tblPrEx>
          <w:tblCellMar>
            <w:top w:w="0" w:type="dxa"/>
            <w:left w:w="108" w:type="dxa"/>
            <w:bottom w:w="0" w:type="dxa"/>
            <w:right w:w="108" w:type="dxa"/>
          </w:tblCellMar>
        </w:tblPrEx>
        <w:trPr>
          <w:trHeight w:val="339" w:hRule="atLeast"/>
          <w:jc w:val="center"/>
        </w:trPr>
        <w:tc>
          <w:tcPr>
            <w:tcW w:w="1230" w:type="dxa"/>
            <w:vMerge w:val="restart"/>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租赁和商务服务业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339" w:hRule="atLeast"/>
          <w:jc w:val="center"/>
        </w:trPr>
        <w:tc>
          <w:tcPr>
            <w:tcW w:w="1230" w:type="dxa"/>
            <w:vMerge w:val="continue"/>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资产总额（Z）</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8000≤Z＜120000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100≤Z＜8000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349" w:hRule="atLeast"/>
          <w:jc w:val="center"/>
        </w:trPr>
        <w:tc>
          <w:tcPr>
            <w:tcW w:w="1230" w:type="dxa"/>
            <w:tcBorders>
              <w:top w:val="nil"/>
              <w:left w:val="single" w:color="auto" w:sz="4" w:space="0"/>
              <w:bottom w:val="single" w:color="auto" w:sz="4" w:space="0"/>
              <w:right w:val="single" w:color="auto" w:sz="4" w:space="0"/>
            </w:tcBorders>
            <w:vAlign w:val="center"/>
          </w:tcPr>
          <w:p>
            <w:pPr>
              <w:widowControl/>
              <w:shd w:val="clear"/>
              <w:spacing w:before="0" w:beforeAutospacing="0" w:after="0" w:afterAutospacing="0" w:line="300" w:lineRule="exact"/>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其他未列明行业</w:t>
            </w:r>
          </w:p>
        </w:tc>
        <w:tc>
          <w:tcPr>
            <w:tcW w:w="144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155"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073"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649"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1070" w:type="dxa"/>
            <w:tcBorders>
              <w:top w:val="nil"/>
              <w:left w:val="nil"/>
              <w:bottom w:val="single" w:color="auto" w:sz="4" w:space="0"/>
              <w:right w:val="single" w:color="auto" w:sz="4" w:space="0"/>
            </w:tcBorders>
            <w:vAlign w:val="center"/>
          </w:tcPr>
          <w:p>
            <w:pPr>
              <w:widowControl/>
              <w:shd w:val="clear"/>
              <w:spacing w:before="0" w:beforeAutospacing="0" w:after="0" w:afterAutospacing="0" w:line="3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bl>
    <w:p>
      <w:pPr>
        <w:shd w:val="clear"/>
        <w:topLinePunct/>
        <w:autoSpaceDE w:val="0"/>
        <w:autoSpaceDN w:val="0"/>
        <w:spacing w:before="0" w:beforeAutospacing="0" w:after="0" w:afterAutospacing="0" w:line="4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说明：上述标准参照《关于印发中小企业划型标准规定的通知》（工信部联企业</w:t>
      </w:r>
      <w:r>
        <w:rPr>
          <w:rFonts w:hint="eastAsia" w:ascii="宋体" w:hAnsi="宋体" w:cs="宋体"/>
          <w:color w:val="000000" w:themeColor="text1"/>
          <w:szCs w:val="21"/>
          <w:highlight w:val="none"/>
          <w:lang w:eastAsia="zh-CN"/>
          <w14:textFill>
            <w14:solidFill>
              <w14:schemeClr w14:val="tx1"/>
            </w14:solidFill>
          </w14:textFill>
        </w:rPr>
        <w:t>〔2011〕300号</w:t>
      </w:r>
      <w:r>
        <w:rPr>
          <w:rFonts w:hint="eastAsia" w:ascii="宋体" w:hAnsi="宋体" w:eastAsia="宋体" w:cs="宋体"/>
          <w:color w:val="000000" w:themeColor="text1"/>
          <w:szCs w:val="21"/>
          <w:highlight w:val="none"/>
          <w14:textFill>
            <w14:solidFill>
              <w14:schemeClr w14:val="tx1"/>
            </w14:solidFill>
          </w14:textFill>
        </w:rPr>
        <w:t>），大型、中型和小型企业须同时满足所列指标的下限，否则下划一档；微型企业只需满足所列指标中的一项即可。</w:t>
      </w:r>
    </w:p>
    <w:p>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pPr>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54" w:name="_Toc4763"/>
      <w:r>
        <w:rPr>
          <w:rFonts w:hint="eastAsia" w:ascii="宋体" w:hAnsi="宋体" w:eastAsia="宋体" w:cs="宋体"/>
          <w:b/>
          <w:bCs/>
          <w:color w:val="000000" w:themeColor="text1"/>
          <w:sz w:val="28"/>
          <w:szCs w:val="28"/>
          <w:highlight w:val="none"/>
          <w14:textFill>
            <w14:solidFill>
              <w14:schemeClr w14:val="tx1"/>
            </w14:solidFill>
          </w14:textFill>
        </w:rPr>
        <w:t>格式7  残疾人福利性单位声明函</w:t>
      </w:r>
      <w:bookmarkEnd w:id="54"/>
    </w:p>
    <w:p>
      <w:pPr>
        <w:shd w:val="clear"/>
        <w:spacing w:before="0" w:beforeAutospacing="0" w:after="0" w:afterAutospacing="0"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pPr>
        <w:shd w:val="clear"/>
        <w:spacing w:before="0" w:beforeAutospacing="0" w:after="0" w:afterAutospacing="0" w:line="588" w:lineRule="exact"/>
        <w:ind w:firstLine="444"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before="0" w:beforeAutospacing="0" w:after="0" w:afterAutospacing="0" w:line="588" w:lineRule="exact"/>
        <w:ind w:firstLine="444"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本单位对上述声明的真实性负责。如有虚假，将依法承担相应责任。</w:t>
      </w:r>
    </w:p>
    <w:p>
      <w:pPr>
        <w:shd w:val="clear"/>
        <w:spacing w:before="0" w:beforeAutospacing="0" w:after="0" w:afterAutospacing="0" w:line="588" w:lineRule="exact"/>
        <w:ind w:firstLine="444" w:firstLineChars="200"/>
        <w:rPr>
          <w:rFonts w:hint="eastAsia" w:ascii="宋体" w:hAnsi="宋体" w:eastAsia="宋体" w:cs="宋体"/>
          <w:color w:val="000000" w:themeColor="text1"/>
          <w:spacing w:val="6"/>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opLinePunct/>
        <w:autoSpaceDE w:val="0"/>
        <w:autoSpaceDN w:val="0"/>
        <w:spacing w:before="0" w:beforeAutospacing="0" w:after="0" w:afterAutospacing="0" w:line="460" w:lineRule="exact"/>
        <w:jc w:val="center"/>
        <w:rPr>
          <w:rFonts w:hint="eastAsia" w:ascii="宋体" w:hAnsi="宋体" w:eastAsia="宋体" w:cs="宋体"/>
          <w:color w:val="000000" w:themeColor="text1"/>
          <w:spacing w:val="6"/>
          <w:szCs w:val="21"/>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
          <w:bCs/>
          <w:color w:val="000000" w:themeColor="text1"/>
          <w:sz w:val="28"/>
          <w:szCs w:val="28"/>
          <w:highlight w:val="none"/>
          <w14:textFill>
            <w14:solidFill>
              <w14:schemeClr w14:val="tx1"/>
            </w14:solidFill>
          </w14:textFill>
        </w:rPr>
      </w:pPr>
    </w:p>
    <w:p>
      <w:pPr>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bookmarkStart w:id="55" w:name="_Toc27397"/>
      <w:r>
        <w:rPr>
          <w:rFonts w:hint="eastAsia" w:ascii="宋体" w:hAnsi="宋体" w:eastAsia="宋体" w:cs="宋体"/>
          <w:b/>
          <w:bCs/>
          <w:color w:val="000000" w:themeColor="text1"/>
          <w:sz w:val="28"/>
          <w:szCs w:val="28"/>
          <w:highlight w:val="none"/>
          <w14:textFill>
            <w14:solidFill>
              <w14:schemeClr w14:val="tx1"/>
            </w14:solidFill>
          </w14:textFill>
        </w:rPr>
        <w:t>格式8  监狱企业的证明材料文件</w:t>
      </w:r>
      <w:bookmarkEnd w:id="55"/>
    </w:p>
    <w:p>
      <w:pPr>
        <w:shd w:val="clear"/>
        <w:spacing w:before="0" w:beforeAutospacing="0" w:after="0" w:afterAutospacing="0" w:line="588" w:lineRule="exact"/>
        <w:ind w:firstLine="444"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说明：</w:t>
      </w:r>
    </w:p>
    <w:p>
      <w:pPr>
        <w:shd w:val="clear"/>
        <w:spacing w:before="0" w:beforeAutospacing="0" w:after="0" w:afterAutospacing="0" w:line="588" w:lineRule="exact"/>
        <w:ind w:firstLine="444"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1.监狱企业参加政府采购活动时，应当提供由省级以上监狱管理局、戒毒管理局（含新疆生产建设兵团）出具的属于监狱企业的证明文件。（供应商如能够在线查询的材料，请提供查询网址链接，可以不用同时提供纸质材料，原件备查）</w:t>
      </w:r>
    </w:p>
    <w:p>
      <w:pPr>
        <w:shd w:val="clear"/>
        <w:spacing w:before="0" w:beforeAutospacing="0" w:after="0" w:afterAutospacing="0" w:line="588" w:lineRule="exact"/>
        <w:ind w:firstLine="444"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2.未按上述要求提供、填写的，</w:t>
      </w:r>
      <w:r>
        <w:rPr>
          <w:rFonts w:hint="eastAsia" w:ascii="宋体" w:hAnsi="宋体" w:cs="宋体"/>
          <w:color w:val="000000" w:themeColor="text1"/>
          <w:spacing w:val="6"/>
          <w:szCs w:val="21"/>
          <w:highlight w:val="none"/>
          <w:lang w:eastAsia="zh-CN"/>
          <w14:textFill>
            <w14:solidFill>
              <w14:schemeClr w14:val="tx1"/>
            </w14:solidFill>
          </w14:textFill>
        </w:rPr>
        <w:t>评审</w:t>
      </w:r>
      <w:r>
        <w:rPr>
          <w:rFonts w:hint="eastAsia" w:ascii="宋体" w:hAnsi="宋体" w:eastAsia="宋体" w:cs="宋体"/>
          <w:color w:val="000000" w:themeColor="text1"/>
          <w:spacing w:val="6"/>
          <w:szCs w:val="21"/>
          <w:highlight w:val="none"/>
          <w14:textFill>
            <w14:solidFill>
              <w14:schemeClr w14:val="tx1"/>
            </w14:solidFill>
          </w14:textFill>
        </w:rPr>
        <w:t>时不予以考虑。</w:t>
      </w:r>
    </w:p>
    <w:p>
      <w:pPr>
        <w:shd w:val="clear"/>
        <w:spacing w:before="0" w:beforeAutospacing="0" w:after="0" w:afterAutospacing="0" w:line="588" w:lineRule="exact"/>
        <w:ind w:firstLine="444"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（示例略）</w:t>
      </w:r>
    </w:p>
    <w:p>
      <w:pPr>
        <w:shd w:val="clear"/>
        <w:spacing w:before="0" w:beforeAutospacing="0" w:after="0" w:afterAutospacing="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pPr>
        <w:shd w:val="clear"/>
        <w:spacing w:before="0" w:beforeAutospacing="0" w:after="0" w:afterAutospacing="0" w:line="240" w:lineRule="auto"/>
        <w:jc w:val="center"/>
        <w:outlineLvl w:val="1"/>
        <w:rPr>
          <w:rFonts w:hint="eastAsia" w:ascii="宋体" w:hAnsi="宋体" w:eastAsia="宋体" w:cs="宋体"/>
          <w:b/>
          <w:bCs/>
          <w:color w:val="000000" w:themeColor="text1"/>
          <w:kern w:val="44"/>
          <w:sz w:val="28"/>
          <w:szCs w:val="28"/>
          <w:highlight w:val="none"/>
          <w14:textFill>
            <w14:solidFill>
              <w14:schemeClr w14:val="tx1"/>
            </w14:solidFill>
          </w14:textFill>
        </w:rPr>
      </w:pPr>
      <w:bookmarkStart w:id="56" w:name="_Toc17076"/>
      <w:r>
        <w:rPr>
          <w:rFonts w:hint="eastAsia" w:ascii="宋体" w:hAnsi="宋体" w:eastAsia="宋体" w:cs="宋体"/>
          <w:b/>
          <w:bCs/>
          <w:color w:val="000000" w:themeColor="text1"/>
          <w:kern w:val="44"/>
          <w:sz w:val="28"/>
          <w:szCs w:val="28"/>
          <w:highlight w:val="none"/>
          <w14:textFill>
            <w14:solidFill>
              <w14:schemeClr w14:val="tx1"/>
            </w14:solidFill>
          </w14:textFill>
        </w:rPr>
        <w:t>格式9  成功案例一览表</w:t>
      </w:r>
      <w:bookmarkEnd w:id="56"/>
    </w:p>
    <w:p>
      <w:pPr>
        <w:shd w:val="clear"/>
        <w:topLinePunct/>
        <w:autoSpaceDE w:val="0"/>
        <w:autoSpaceDN w:val="0"/>
        <w:adjustRightInd w:val="0"/>
        <w:snapToGrid w:val="0"/>
        <w:spacing w:before="0" w:beforeAutospacing="0" w:after="0" w:afterAutospacing="0" w:line="360" w:lineRule="auto"/>
        <w:ind w:left="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i/>
          <w:color w:val="000000" w:themeColor="text1"/>
          <w:szCs w:val="21"/>
          <w:highlight w:val="none"/>
          <w14:textFill>
            <w14:solidFill>
              <w14:schemeClr w14:val="tx1"/>
            </w14:solidFill>
          </w14:textFill>
        </w:rPr>
        <w:t>根据采购文件要求调整</w:t>
      </w:r>
      <w:r>
        <w:rPr>
          <w:rFonts w:hint="eastAsia" w:ascii="宋体" w:hAnsi="宋体" w:eastAsia="宋体" w:cs="宋体"/>
          <w:color w:val="000000" w:themeColor="text1"/>
          <w:szCs w:val="21"/>
          <w:highlight w:val="none"/>
          <w14:textFill>
            <w14:solidFill>
              <w14:schemeClr w14:val="tx1"/>
            </w14:solidFill>
          </w14:textFill>
        </w:rPr>
        <w:t>）</w:t>
      </w:r>
    </w:p>
    <w:tbl>
      <w:tblPr>
        <w:tblStyle w:val="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合同</w:t>
            </w:r>
          </w:p>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合同</w:t>
            </w:r>
          </w:p>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合同</w:t>
            </w:r>
          </w:p>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合同主要</w:t>
            </w:r>
          </w:p>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用  户</w:t>
            </w:r>
          </w:p>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用户联</w:t>
            </w:r>
          </w:p>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noWrap/>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noWrap/>
            <w:vAlign w:val="center"/>
          </w:tcPr>
          <w:p>
            <w:pPr>
              <w:shd w:val="clear"/>
              <w:topLinePunct/>
              <w:autoSpaceDE w:val="0"/>
              <w:autoSpaceDN w:val="0"/>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w:t>
      </w:r>
      <w:r>
        <w:rPr>
          <w:rFonts w:hint="eastAsia" w:ascii="宋体" w:hAnsi="宋体" w:eastAsia="宋体" w:cs="宋体"/>
          <w:color w:val="000000" w:themeColor="text1"/>
          <w:szCs w:val="21"/>
          <w:highlight w:val="none"/>
          <w:lang w:val="en-US"/>
          <w14:textFill>
            <w14:solidFill>
              <w14:schemeClr w14:val="tx1"/>
            </w14:solidFill>
          </w14:textFill>
        </w:rPr>
        <w:t>2022年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月1日</w:t>
      </w:r>
      <w:r>
        <w:rPr>
          <w:rFonts w:hint="eastAsia" w:ascii="宋体" w:hAnsi="宋体" w:eastAsia="宋体" w:cs="宋体"/>
          <w:color w:val="000000" w:themeColor="text1"/>
          <w:szCs w:val="21"/>
          <w:highlight w:val="none"/>
          <w14:textFill>
            <w14:solidFill>
              <w14:schemeClr w14:val="tx1"/>
            </w14:solidFill>
          </w14:textFill>
        </w:rPr>
        <w:t>以来（以合同签订日期为准），供应商独立承担的类似的项目案例。</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2.应提供合同复印件（线上采购项目提供扫描件，下同）。合同复印件应能清晰体现合同甲乙双方、合同时间、合同主要内容等，否则不能获得相应分值。</w:t>
      </w:r>
    </w:p>
    <w:p>
      <w:pPr>
        <w:shd w:val="clear"/>
        <w:topLinePunct/>
        <w:autoSpaceDE w:val="0"/>
        <w:autoSpaceDN w:val="0"/>
        <w:spacing w:before="0" w:beforeAutospacing="0" w:after="0" w:afterAutospacing="0" w:line="460" w:lineRule="exact"/>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57" w:name="_Toc989815653"/>
      <w:bookmarkStart w:id="58" w:name="_Toc315564887"/>
      <w:bookmarkStart w:id="59" w:name="_Toc579775874"/>
      <w:bookmarkStart w:id="60" w:name="_Toc1093498656"/>
      <w:bookmarkStart w:id="61" w:name="_Toc665197788"/>
      <w:bookmarkStart w:id="62" w:name="_Toc1229686241"/>
      <w:bookmarkStart w:id="63" w:name="_Toc2129800646"/>
      <w:bookmarkStart w:id="64" w:name="_Toc240142232"/>
      <w:bookmarkStart w:id="65" w:name="_Toc1062827402"/>
      <w:bookmarkStart w:id="66" w:name="_Toc18814"/>
    </w:p>
    <w:p>
      <w:pPr>
        <w:shd w:val="clear"/>
        <w:spacing w:before="0" w:beforeAutospacing="0" w:after="0" w:afterAutospacing="0" w:line="240" w:lineRule="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p>
    <w:p>
      <w:pPr>
        <w:shd w:val="clear"/>
        <w:spacing w:before="0" w:beforeAutospacing="0" w:after="0" w:afterAutospacing="0" w:line="600" w:lineRule="auto"/>
        <w:jc w:val="center"/>
        <w:rPr>
          <w:rFonts w:hint="eastAsia" w:ascii="宋体" w:hAnsi="宋体" w:eastAsia="宋体" w:cs="宋体"/>
          <w:b/>
          <w:color w:val="000000" w:themeColor="text1"/>
          <w:kern w:val="0"/>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
          <w:color w:val="000000" w:themeColor="text1"/>
          <w:kern w:val="0"/>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600" w:lineRule="auto"/>
        <w:jc w:val="center"/>
        <w:rPr>
          <w:rFonts w:hint="eastAsia" w:ascii="宋体" w:hAnsi="宋体" w:eastAsia="宋体" w:cs="宋体"/>
          <w:bCs/>
          <w:color w:val="000000" w:themeColor="text1"/>
          <w:kern w:val="0"/>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t>响  应  文  件</w:t>
      </w:r>
    </w:p>
    <w:p>
      <w:pPr>
        <w:shd w:val="clear"/>
        <w:spacing w:before="0" w:beforeAutospacing="0" w:after="0" w:afterAutospacing="0" w:line="600" w:lineRule="auto"/>
        <w:jc w:val="center"/>
        <w:rPr>
          <w:rFonts w:hint="eastAsia" w:ascii="宋体" w:hAnsi="宋体" w:eastAsia="宋体" w:cs="宋体"/>
          <w:bCs/>
          <w:color w:val="000000" w:themeColor="text1"/>
          <w:kern w:val="0"/>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t>技术部分</w:t>
      </w:r>
    </w:p>
    <w:p>
      <w:pPr>
        <w:shd w:val="clear"/>
        <w:spacing w:before="0" w:beforeAutospacing="0" w:after="0" w:afterAutospacing="0" w:line="360" w:lineRule="auto"/>
        <w:ind w:firstLine="640" w:firstLineChars="200"/>
        <w:jc w:val="center"/>
        <w:rPr>
          <w:rFonts w:hint="eastAsia" w:ascii="宋体" w:hAnsi="宋体" w:eastAsia="宋体" w:cs="宋体"/>
          <w:color w:val="000000" w:themeColor="text1"/>
          <w:kern w:val="0"/>
          <w:sz w:val="32"/>
          <w:szCs w:val="32"/>
          <w:highlight w:val="none"/>
          <w14:textFill>
            <w14:solidFill>
              <w14:schemeClr w14:val="tx1"/>
            </w14:solidFill>
          </w14:textFill>
        </w:rPr>
      </w:pPr>
    </w:p>
    <w:p>
      <w:pPr>
        <w:shd w:val="clear"/>
        <w:spacing w:before="0" w:beforeAutospacing="0" w:after="0" w:afterAutospacing="0"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（填写正本或副本）</w:t>
      </w:r>
    </w:p>
    <w:p>
      <w:pPr>
        <w:shd w:val="clear"/>
        <w:spacing w:before="0" w:beforeAutospacing="0" w:after="0" w:afterAutospacing="0" w:line="360" w:lineRule="auto"/>
        <w:ind w:firstLine="480" w:firstLineChars="200"/>
        <w:jc w:val="center"/>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pP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项目名称：</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项目编号：</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所投采购包：</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360" w:lineRule="auto"/>
        <w:ind w:left="1470" w:leftChars="700" w:firstLine="480" w:firstLineChars="200"/>
        <w:jc w:val="center"/>
        <w:rPr>
          <w:rFonts w:hint="eastAsia" w:ascii="宋体" w:hAnsi="宋体" w:eastAsia="宋体" w:cs="宋体"/>
          <w:bCs/>
          <w:color w:val="000000" w:themeColor="text1"/>
          <w:kern w:val="0"/>
          <w:sz w:val="24"/>
          <w:szCs w:val="24"/>
          <w:highlight w:val="none"/>
          <w14:textFill>
            <w14:solidFill>
              <w14:schemeClr w14:val="tx1"/>
            </w14:solidFill>
          </w14:textFill>
        </w:rPr>
      </w:pP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供应商：</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shd w:val="clear"/>
        <w:spacing w:before="0" w:beforeAutospacing="0" w:after="0" w:afterAutospacing="0" w:line="360" w:lineRule="auto"/>
        <w:ind w:left="1470" w:leftChars="700" w:firstLine="1680" w:firstLineChars="7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日  期：</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p>
    <w:p>
      <w:pPr>
        <w:widowControl/>
        <w:shd w:val="clear"/>
        <w:spacing w:before="0" w:beforeAutospacing="0" w:after="0" w:afterAutospacing="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End w:id="57"/>
      <w:bookmarkEnd w:id="58"/>
      <w:bookmarkEnd w:id="59"/>
      <w:bookmarkEnd w:id="60"/>
      <w:bookmarkEnd w:id="61"/>
      <w:bookmarkEnd w:id="62"/>
      <w:bookmarkEnd w:id="63"/>
      <w:bookmarkEnd w:id="64"/>
      <w:bookmarkEnd w:id="65"/>
      <w:bookmarkEnd w:id="66"/>
      <w:r>
        <w:rPr>
          <w:rFonts w:hint="eastAsia" w:ascii="宋体" w:hAnsi="宋体" w:eastAsia="宋体" w:cs="宋体"/>
          <w:b/>
          <w:bCs/>
          <w:color w:val="000000" w:themeColor="text1"/>
          <w:sz w:val="28"/>
          <w:szCs w:val="28"/>
          <w:highlight w:val="none"/>
          <w14:textFill>
            <w14:solidFill>
              <w14:schemeClr w14:val="tx1"/>
            </w14:solidFill>
          </w14:textFill>
        </w:rPr>
        <w:t>格式9 技术条款偏离表</w:t>
      </w:r>
    </w:p>
    <w:tbl>
      <w:tblPr>
        <w:tblStyle w:val="7"/>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516" w:type="dxa"/>
            <w:noWrap/>
          </w:tcPr>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采购文件</w:t>
            </w:r>
          </w:p>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技术部分序号</w:t>
            </w:r>
          </w:p>
        </w:tc>
        <w:tc>
          <w:tcPr>
            <w:tcW w:w="2116"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采购文件</w:t>
            </w:r>
          </w:p>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技术部分内容要求</w:t>
            </w:r>
          </w:p>
        </w:tc>
        <w:tc>
          <w:tcPr>
            <w:tcW w:w="1684"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响应文件</w:t>
            </w:r>
          </w:p>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应答情况</w:t>
            </w:r>
          </w:p>
        </w:tc>
        <w:tc>
          <w:tcPr>
            <w:tcW w:w="2090"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偏离（无/正/负）</w:t>
            </w:r>
          </w:p>
        </w:tc>
        <w:tc>
          <w:tcPr>
            <w:tcW w:w="832"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5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21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1684"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90"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32"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5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21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1684"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90"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32"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5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21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1684"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90"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32"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5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2116" w:type="dxa"/>
            <w:noWrap/>
            <w:vAlign w:val="center"/>
          </w:tcPr>
          <w:p>
            <w:pPr>
              <w:shd w:val="clear"/>
              <w:adjustRightInd w:val="0"/>
              <w:snapToGrid w:val="0"/>
              <w:spacing w:before="0" w:beforeAutospacing="0" w:after="0" w:afterAutospacing="0" w:line="240" w:lineRule="auto"/>
              <w:ind w:left="50" w:leftChars="24" w:right="55" w:rightChars="26"/>
              <w:jc w:val="center"/>
              <w:rPr>
                <w:rFonts w:hint="eastAsia" w:ascii="宋体" w:hAnsi="宋体" w:eastAsia="宋体" w:cs="宋体"/>
                <w:color w:val="000000" w:themeColor="text1"/>
                <w:szCs w:val="21"/>
                <w:highlight w:val="none"/>
                <w14:textFill>
                  <w14:solidFill>
                    <w14:schemeClr w14:val="tx1"/>
                  </w14:solidFill>
                </w14:textFill>
              </w:rPr>
            </w:pPr>
          </w:p>
        </w:tc>
        <w:tc>
          <w:tcPr>
            <w:tcW w:w="1684"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90"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32"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516"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16"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684"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90"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32"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516"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16"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684"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90"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32" w:type="dxa"/>
            <w:noWrap/>
            <w:vAlign w:val="center"/>
          </w:tcPr>
          <w:p>
            <w:pPr>
              <w:shd w:val="clear"/>
              <w:adjustRightInd w:val="0"/>
              <w:snapToGri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1.按照《采购文件-技术部分》内容要求，一一对应填写。如果对《采购文件-技术部分》内容不做一一响应，而将“响应文件应答情况”简单笼统描述为“无偏离”，则视为无效应答。</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2.《采购文件-技术部分》内容须条对条应答，不得遗漏；如有遗漏，则视为无效应答。如无偏离，请在此表中填写“无偏离”。如有偏离，请在此表中应答为“正/负偏离”并说明偏离情况；</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3.如《采购文件-技术部分》中有标注★号的，则为实质性要求，必须满足，如应答为“负偏离”，将导致响应无效。</w:t>
      </w:r>
    </w:p>
    <w:p>
      <w:pPr>
        <w:shd w:val="clear"/>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widowControl/>
        <w:shd w:val="clear"/>
        <w:spacing w:before="0" w:beforeAutospacing="0" w:after="156" w:afterLines="5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（全称并加盖公章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tabs>
          <w:tab w:val="left" w:pos="1230"/>
        </w:tabs>
        <w:topLinePunct/>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hd w:val="clear"/>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sectPr>
          <w:pgSz w:w="11906" w:h="16838"/>
          <w:pgMar w:top="1440" w:right="1752" w:bottom="1440" w:left="1752" w:header="851" w:footer="992" w:gutter="0"/>
          <w:cols w:space="720" w:num="1"/>
          <w:titlePg/>
          <w:docGrid w:type="lines" w:linePitch="312" w:charSpace="0"/>
        </w:sectPr>
      </w:pPr>
    </w:p>
    <w:p>
      <w:pPr>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67" w:name="_Toc19987"/>
      <w:r>
        <w:rPr>
          <w:rFonts w:hint="eastAsia" w:ascii="宋体" w:hAnsi="宋体" w:eastAsia="宋体" w:cs="宋体"/>
          <w:b/>
          <w:bCs/>
          <w:color w:val="000000" w:themeColor="text1"/>
          <w:sz w:val="28"/>
          <w:szCs w:val="28"/>
          <w:highlight w:val="none"/>
          <w14:textFill>
            <w14:solidFill>
              <w14:schemeClr w14:val="tx1"/>
            </w14:solidFill>
          </w14:textFill>
        </w:rPr>
        <w:t>格式10  服务方案、实施方案及技术方案</w:t>
      </w:r>
      <w:bookmarkEnd w:id="67"/>
    </w:p>
    <w:p>
      <w:pPr>
        <w:shd w:val="clear"/>
        <w:spacing w:before="0" w:beforeAutospacing="0" w:after="0" w:afterAutospacing="0" w:line="24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adjustRightInd w:val="0"/>
        <w:snapToGrid w:val="0"/>
        <w:spacing w:before="0" w:beforeAutospacing="0" w:after="0" w:afterAutospacing="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服务方案说明</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服务类项目供应商应根据第六章规定编写服务方案说明。服务方案说明包括但不限于：</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（1）服务目标、范围和任务；</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（2）服务方案；</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（3）服务团队组织安排计划；</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（4）工作流程；</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（5）进度计划及保证措施；</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（6）质量保证措施；</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（7）合理化建议；</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（8）其他。</w:t>
      </w: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pPr>
        <w:shd w:val="clear"/>
        <w:spacing w:after="0"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实施方案</w:t>
      </w:r>
    </w:p>
    <w:p>
      <w:pPr>
        <w:shd w:val="clear"/>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（示例略）</w:t>
      </w:r>
    </w:p>
    <w:p>
      <w:pPr>
        <w:shd w:val="clear"/>
        <w:spacing w:after="0"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adjustRightInd w:val="0"/>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技术方案</w:t>
      </w:r>
    </w:p>
    <w:p>
      <w:pPr>
        <w:shd w:val="clear"/>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（示例略）</w:t>
      </w:r>
    </w:p>
    <w:p>
      <w:pPr>
        <w:shd w:val="clear"/>
        <w:spacing w:before="0" w:beforeAutospacing="0" w:after="0" w:afterAutospacing="0" w:line="36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bookmarkStart w:id="68" w:name="_Toc5407"/>
      <w:r>
        <w:rPr>
          <w:rFonts w:hint="eastAsia" w:ascii="宋体" w:hAnsi="宋体" w:eastAsia="宋体" w:cs="宋体"/>
          <w:b/>
          <w:bCs/>
          <w:color w:val="000000" w:themeColor="text1"/>
          <w:sz w:val="28"/>
          <w:szCs w:val="28"/>
          <w:highlight w:val="none"/>
          <w14:textFill>
            <w14:solidFill>
              <w14:schemeClr w14:val="tx1"/>
            </w14:solidFill>
          </w14:textFill>
        </w:rPr>
        <w:t>格式11  技术力量一览表</w:t>
      </w:r>
      <w:bookmarkEnd w:id="68"/>
    </w:p>
    <w:tbl>
      <w:tblPr>
        <w:tblStyle w:val="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shd w:val="clear"/>
              <w:adjustRightIn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shd w:val="clear"/>
              <w:adjustRightIn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shd w:val="clear"/>
              <w:adjustRightIn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shd w:val="clear"/>
              <w:adjustRightIn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shd w:val="clear"/>
              <w:adjustRightIn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shd w:val="clear"/>
              <w:adjustRightIn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shd w:val="clear"/>
              <w:adjustRightInd w:val="0"/>
              <w:spacing w:before="0" w:beforeAutospacing="0" w:after="0" w:afterAutospacing="0"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35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7"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5"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43"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1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35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7"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5"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43"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1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35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7"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5"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43"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1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35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7"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5"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43"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1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35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7"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5"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43"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1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35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7"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5"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43"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1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35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7"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5"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43"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16" w:type="dxa"/>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供应商须按照上述格式填写投入本项目所有人员的相关信息。</w:t>
      </w:r>
    </w:p>
    <w:p>
      <w:pPr>
        <w:shd w:val="clear"/>
        <w:topLinePunct/>
        <w:autoSpaceDE w:val="0"/>
        <w:autoSpaceDN w:val="0"/>
        <w:spacing w:before="0" w:beforeAutospacing="0" w:after="0" w:afterAutospacing="0" w:line="460" w:lineRule="exact"/>
        <w:rPr>
          <w:rFonts w:hint="eastAsia" w:ascii="宋体" w:hAnsi="宋体" w:eastAsia="宋体" w:cs="宋体"/>
          <w:bCs/>
          <w:color w:val="000000" w:themeColor="text1"/>
          <w:w w:val="150"/>
          <w:sz w:val="24"/>
          <w:highlight w:val="none"/>
          <w:shd w:val="clear" w:color="auto" w:fill="FFFF00"/>
          <w14:textFill>
            <w14:solidFill>
              <w14:schemeClr w14:val="tx1"/>
            </w14:solidFill>
          </w14:textFill>
        </w:rPr>
      </w:pPr>
    </w:p>
    <w:p>
      <w:pPr>
        <w:shd w:val="clear"/>
        <w:topLinePunct/>
        <w:autoSpaceDE w:val="0"/>
        <w:autoSpaceDN w:val="0"/>
        <w:spacing w:before="0" w:beforeAutospacing="0" w:after="0" w:afterAutospacing="0" w:line="460" w:lineRule="exact"/>
        <w:jc w:val="center"/>
        <w:outlineLvl w:val="1"/>
        <w:rPr>
          <w:rFonts w:hint="eastAsia" w:ascii="宋体" w:hAnsi="宋体" w:eastAsia="宋体" w:cs="宋体"/>
          <w:b/>
          <w:bCs/>
          <w:snapToGrid w:val="0"/>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br w:type="page"/>
      </w:r>
      <w:bookmarkStart w:id="69" w:name="_Toc25394"/>
      <w:r>
        <w:rPr>
          <w:rFonts w:hint="eastAsia" w:ascii="宋体" w:hAnsi="宋体" w:eastAsia="宋体" w:cs="宋体"/>
          <w:b/>
          <w:bCs/>
          <w:snapToGrid w:val="0"/>
          <w:color w:val="000000" w:themeColor="text1"/>
          <w:kern w:val="0"/>
          <w:sz w:val="28"/>
          <w:szCs w:val="28"/>
          <w:highlight w:val="none"/>
          <w14:textFill>
            <w14:solidFill>
              <w14:schemeClr w14:val="tx1"/>
            </w14:solidFill>
          </w14:textFill>
        </w:rPr>
        <w:t>格式</w:t>
      </w:r>
      <w:r>
        <w:rPr>
          <w:rFonts w:hint="eastAsia" w:ascii="宋体" w:hAnsi="宋体" w:eastAsia="宋体" w:cs="宋体"/>
          <w:b/>
          <w:bCs/>
          <w:color w:val="000000" w:themeColor="text1"/>
          <w:sz w:val="28"/>
          <w:szCs w:val="28"/>
          <w:highlight w:val="none"/>
          <w14:textFill>
            <w14:solidFill>
              <w14:schemeClr w14:val="tx1"/>
            </w14:solidFill>
          </w14:textFill>
        </w:rPr>
        <w:t xml:space="preserve">12  </w:t>
      </w:r>
      <w:r>
        <w:rPr>
          <w:rFonts w:hint="eastAsia" w:ascii="宋体" w:hAnsi="宋体" w:eastAsia="宋体" w:cs="宋体"/>
          <w:b/>
          <w:bCs/>
          <w:snapToGrid w:val="0"/>
          <w:color w:val="000000" w:themeColor="text1"/>
          <w:kern w:val="0"/>
          <w:sz w:val="28"/>
          <w:szCs w:val="28"/>
          <w:highlight w:val="none"/>
          <w14:textFill>
            <w14:solidFill>
              <w14:schemeClr w14:val="tx1"/>
            </w14:solidFill>
          </w14:textFill>
        </w:rPr>
        <w:t>技术人员简历表</w:t>
      </w:r>
      <w:bookmarkEnd w:id="69"/>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   名</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性    别</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   历</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pacing w:before="0" w:beforeAutospacing="0" w:after="0" w:afterAutospacing="0" w:line="24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pPr>
              <w:shd w:val="clear"/>
              <w:spacing w:before="0" w:beforeAutospacing="0" w:after="0" w:afterAutospacing="0"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工作简历及主要业绩</w:t>
            </w:r>
          </w:p>
          <w:p>
            <w:pPr>
              <w:shd w:val="clear"/>
              <w:adjustRightInd w:val="0"/>
              <w:spacing w:before="0" w:beforeAutospacing="0" w:after="0" w:afterAutospacing="0" w:line="24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1.供应商应提供投入本项目所有人员的简历。</w:t>
      </w:r>
    </w:p>
    <w:p>
      <w:pPr>
        <w:shd w:val="clear"/>
        <w:topLinePunct/>
        <w:autoSpaceDE w:val="0"/>
        <w:autoSpaceDN w:val="0"/>
        <w:spacing w:before="0" w:beforeAutospacing="0" w:after="0" w:afterAutospacing="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2.所有人员应提供健康证、身份证、工作经验证明等复印件。</w:t>
      </w:r>
    </w:p>
    <w:p>
      <w:pPr>
        <w:shd w:val="clear"/>
        <w:topLinePunct/>
        <w:autoSpaceDE w:val="0"/>
        <w:autoSpaceDN w:val="0"/>
        <w:spacing w:before="0" w:beforeAutospacing="0" w:after="0" w:afterAutospacing="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widowControl/>
        <w:shd w:val="clear"/>
        <w:spacing w:before="0" w:beforeAutospacing="0" w:after="0" w:afterAutospacing="0" w:line="240" w:lineRule="auto"/>
        <w:jc w:val="left"/>
        <w:rPr>
          <w:rFonts w:hint="eastAsia" w:ascii="宋体" w:hAnsi="宋体" w:eastAsia="宋体" w:cs="宋体"/>
          <w:color w:val="000000" w:themeColor="text1"/>
          <w:highlight w:val="none"/>
          <w14:textFill>
            <w14:solidFill>
              <w14:schemeClr w14:val="tx1"/>
            </w14:solidFill>
          </w14:textFill>
        </w:rPr>
      </w:pPr>
    </w:p>
    <w:p>
      <w:pPr>
        <w:widowControl/>
        <w:shd w:val="clear"/>
        <w:spacing w:before="0" w:beforeAutospacing="0" w:after="0" w:afterAutospacing="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bookmarkStart w:id="70" w:name="_Toc13122"/>
      <w:r>
        <w:rPr>
          <w:rFonts w:hint="eastAsia" w:ascii="宋体" w:hAnsi="宋体" w:eastAsia="宋体" w:cs="宋体"/>
          <w:b/>
          <w:bCs/>
          <w:color w:val="000000" w:themeColor="text1"/>
          <w:sz w:val="28"/>
          <w:szCs w:val="28"/>
          <w:highlight w:val="none"/>
          <w14:textFill>
            <w14:solidFill>
              <w14:schemeClr w14:val="tx1"/>
            </w14:solidFill>
          </w14:textFill>
        </w:rPr>
        <w:t>格式13  供应商售后服务承诺</w:t>
      </w:r>
      <w:bookmarkEnd w:id="70"/>
    </w:p>
    <w:p>
      <w:pPr>
        <w:shd w:val="clear"/>
        <w:spacing w:before="0" w:beforeAutospacing="0" w:after="0" w:afterAutospacing="0"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hd w:val="clear"/>
        <w:spacing w:before="0" w:beforeAutospacing="0" w:after="0" w:afterAutospacing="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（示例略）</w:t>
      </w:r>
    </w:p>
    <w:p>
      <w:pPr>
        <w:shd w:val="clear"/>
        <w:spacing w:before="0" w:beforeAutospacing="0" w:after="0" w:afterAutospacing="0" w:line="240" w:lineRule="auto"/>
        <w:rPr>
          <w:rFonts w:hint="eastAsia" w:ascii="宋体" w:hAnsi="宋体" w:eastAsia="宋体" w:cs="宋体"/>
          <w:color w:val="000000" w:themeColor="text1"/>
          <w:highlight w:val="none"/>
          <w14:textFill>
            <w14:solidFill>
              <w14:schemeClr w14:val="tx1"/>
            </w14:solidFill>
          </w14:textFill>
        </w:rPr>
        <w:sectPr>
          <w:pgSz w:w="11906" w:h="16838"/>
          <w:pgMar w:top="1440" w:right="1752" w:bottom="1440" w:left="1752" w:header="851" w:footer="992" w:gutter="0"/>
          <w:cols w:space="720" w:num="1"/>
          <w:titlePg/>
          <w:docGrid w:type="lines" w:linePitch="312" w:charSpace="0"/>
        </w:sectPr>
      </w:pPr>
    </w:p>
    <w:p>
      <w:pPr>
        <w:shd w:val="clear"/>
        <w:topLinePunct/>
        <w:autoSpaceDE w:val="0"/>
        <w:autoSpaceDN w:val="0"/>
        <w:spacing w:before="0" w:beforeAutospacing="0" w:after="0" w:afterAutospacing="0" w:line="360" w:lineRule="auto"/>
        <w:jc w:val="center"/>
        <w:rPr>
          <w:rFonts w:hint="eastAsia" w:ascii="宋体" w:hAnsi="宋体" w:eastAsia="宋体" w:cs="宋体"/>
          <w:bCs/>
          <w:color w:val="000000" w:themeColor="text1"/>
          <w:sz w:val="52"/>
          <w:szCs w:val="52"/>
          <w:highlight w:val="none"/>
          <w14:textFill>
            <w14:solidFill>
              <w14:schemeClr w14:val="tx1"/>
            </w14:solidFill>
          </w14:textFill>
        </w:rPr>
      </w:pPr>
    </w:p>
    <w:p>
      <w:pPr>
        <w:shd w:val="clear"/>
        <w:topLinePunct/>
        <w:autoSpaceDE w:val="0"/>
        <w:autoSpaceDN w:val="0"/>
        <w:spacing w:before="0" w:beforeAutospacing="0" w:after="0" w:afterAutospacing="0" w:line="360" w:lineRule="auto"/>
        <w:jc w:val="center"/>
        <w:rPr>
          <w:rFonts w:hint="eastAsia" w:ascii="宋体" w:hAnsi="宋体" w:eastAsia="宋体" w:cs="宋体"/>
          <w:bCs/>
          <w:color w:val="000000" w:themeColor="text1"/>
          <w:sz w:val="52"/>
          <w:szCs w:val="52"/>
          <w:highlight w:val="none"/>
          <w14:textFill>
            <w14:solidFill>
              <w14:schemeClr w14:val="tx1"/>
            </w14:solidFill>
          </w14:textFill>
        </w:rPr>
      </w:pPr>
    </w:p>
    <w:p>
      <w:pPr>
        <w:shd w:val="clear"/>
        <w:topLinePunct/>
        <w:autoSpaceDE w:val="0"/>
        <w:autoSpaceDN w:val="0"/>
        <w:spacing w:before="0" w:beforeAutospacing="0" w:after="0" w:afterAutospacing="0"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磋商文件</w:t>
      </w:r>
    </w:p>
    <w:p>
      <w:pPr>
        <w:shd w:val="clear"/>
        <w:topLinePunct/>
        <w:autoSpaceDE w:val="0"/>
        <w:autoSpaceDN w:val="0"/>
        <w:snapToGrid w:val="0"/>
        <w:spacing w:before="0" w:beforeAutospacing="0" w:after="0" w:afterAutospacing="0" w:line="360" w:lineRule="auto"/>
        <w:jc w:val="center"/>
        <w:outlineLvl w:val="0"/>
        <w:rPr>
          <w:rFonts w:hint="eastAsia" w:ascii="宋体" w:hAnsi="宋体" w:eastAsia="宋体" w:cs="宋体"/>
          <w:bCs/>
          <w:color w:val="000000" w:themeColor="text1"/>
          <w:sz w:val="32"/>
          <w:szCs w:val="32"/>
          <w:highlight w:val="none"/>
          <w14:textFill>
            <w14:solidFill>
              <w14:schemeClr w14:val="tx1"/>
            </w14:solidFill>
          </w14:textFill>
        </w:rPr>
      </w:pPr>
      <w:bookmarkStart w:id="71" w:name="_Toc26732"/>
      <w:r>
        <w:rPr>
          <w:rFonts w:hint="eastAsia" w:ascii="宋体" w:hAnsi="宋体" w:eastAsia="宋体" w:cs="宋体"/>
          <w:bCs/>
          <w:color w:val="000000" w:themeColor="text1"/>
          <w:sz w:val="32"/>
          <w:szCs w:val="32"/>
          <w:highlight w:val="none"/>
          <w14:textFill>
            <w14:solidFill>
              <w14:schemeClr w14:val="tx1"/>
            </w14:solidFill>
          </w14:textFill>
        </w:rPr>
        <w:t>（技术部分）</w:t>
      </w:r>
      <w:bookmarkEnd w:id="71"/>
    </w:p>
    <w:p>
      <w:pPr>
        <w:pStyle w:val="3"/>
        <w:shd w:val="clear"/>
        <w:jc w:val="center"/>
        <w:rPr>
          <w:rFonts w:hint="eastAsia" w:ascii="宋体" w:hAnsi="宋体" w:eastAsia="宋体" w:cs="宋体"/>
          <w:b/>
          <w:color w:val="000000" w:themeColor="text1"/>
          <w:kern w:val="0"/>
          <w:sz w:val="30"/>
          <w:szCs w:val="72"/>
          <w:highlight w:val="none"/>
          <w14:textFill>
            <w14:solidFill>
              <w14:schemeClr w14:val="tx1"/>
            </w14:solidFill>
          </w14:textFill>
        </w:rPr>
      </w:pPr>
      <w:r>
        <w:rPr>
          <w:rFonts w:hint="eastAsia" w:ascii="宋体" w:hAnsi="宋体" w:eastAsia="宋体" w:cs="宋体"/>
          <w:b/>
          <w:color w:val="000000" w:themeColor="text1"/>
          <w:kern w:val="0"/>
          <w:sz w:val="30"/>
          <w:szCs w:val="72"/>
          <w:highlight w:val="none"/>
          <w14:textFill>
            <w14:solidFill>
              <w14:schemeClr w14:val="tx1"/>
            </w14:solidFill>
          </w14:textFill>
        </w:rPr>
        <w:t>（本项目为目录外标准下项目）</w:t>
      </w:r>
    </w:p>
    <w:p>
      <w:pPr>
        <w:shd w:val="clear"/>
        <w:topLinePunct/>
        <w:autoSpaceDE w:val="0"/>
        <w:autoSpaceDN w:val="0"/>
        <w:snapToGrid w:val="0"/>
        <w:spacing w:before="0" w:beforeAutospacing="0" w:after="0" w:afterAutospacing="0" w:line="240" w:lineRule="auto"/>
        <w:rPr>
          <w:rFonts w:hint="eastAsia" w:ascii="宋体" w:hAnsi="宋体" w:eastAsia="宋体" w:cs="宋体"/>
          <w:color w:val="000000" w:themeColor="text1"/>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
          <w:color w:val="000000" w:themeColor="text1"/>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color w:val="000000" w:themeColor="text1"/>
          <w:sz w:val="44"/>
          <w:szCs w:val="44"/>
          <w:highlight w:val="none"/>
          <w14:textFill>
            <w14:solidFill>
              <w14:schemeClr w14:val="tx1"/>
            </w14:solidFill>
          </w14:textFill>
        </w:rPr>
      </w:pPr>
    </w:p>
    <w:p>
      <w:pPr>
        <w:shd w:val="clear"/>
        <w:spacing w:before="0" w:beforeAutospacing="0" w:after="0" w:afterAutospacing="0" w:line="240" w:lineRule="auto"/>
        <w:rPr>
          <w:rFonts w:hint="eastAsia" w:ascii="宋体" w:hAnsi="宋体" w:eastAsia="宋体" w:cs="宋体"/>
          <w:b/>
          <w:color w:val="000000" w:themeColor="text1"/>
          <w:sz w:val="30"/>
          <w:szCs w:val="30"/>
          <w:highlight w:val="none"/>
          <w14:textFill>
            <w14:solidFill>
              <w14:schemeClr w14:val="tx1"/>
            </w14:solidFill>
          </w14:textFill>
        </w:rPr>
      </w:pPr>
    </w:p>
    <w:p>
      <w:pPr>
        <w:shd w:val="clear"/>
        <w:spacing w:line="480" w:lineRule="auto"/>
        <w:ind w:left="1959" w:leftChars="266" w:hanging="1400" w:hangingChars="5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项目名称：国家税务总局柳州市城中区税务局</w:t>
      </w:r>
    </w:p>
    <w:p>
      <w:pPr>
        <w:shd w:val="clear"/>
        <w:spacing w:line="480" w:lineRule="auto"/>
        <w:ind w:firstLine="1960" w:firstLineChars="7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拍卖服务机构采购（重）</w:t>
      </w:r>
    </w:p>
    <w:p>
      <w:pPr>
        <w:shd w:val="clear"/>
        <w:spacing w:line="480" w:lineRule="auto"/>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FS（ZB3）2025026C（重）</w:t>
      </w:r>
    </w:p>
    <w:p>
      <w:pPr>
        <w:shd w:val="clear"/>
        <w:spacing w:line="48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 购 人：国家税务总局柳州市城中区税务局</w:t>
      </w:r>
    </w:p>
    <w:p>
      <w:pPr>
        <w:shd w:val="clear"/>
        <w:spacing w:line="48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采购代理机构：广西建设工程机电设备招标中心有限公司</w:t>
      </w:r>
    </w:p>
    <w:p>
      <w:pPr>
        <w:shd w:val="clear"/>
        <w:topLinePunct/>
        <w:autoSpaceDE w:val="0"/>
        <w:autoSpaceDN w:val="0"/>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pPr>
        <w:shd w:val="clea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国家税务总局柳州市城中区税务局</w:t>
      </w:r>
    </w:p>
    <w:p>
      <w:pPr>
        <w:shd w:val="clea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2025年</w:t>
      </w:r>
      <w:r>
        <w:rPr>
          <w:rFonts w:hint="eastAsia" w:ascii="宋体" w:hAnsi="宋体" w:cs="宋体"/>
          <w:color w:val="000000" w:themeColor="text1"/>
          <w:sz w:val="28"/>
          <w:szCs w:val="28"/>
          <w:highlight w:val="none"/>
          <w:lang w:val="en-US" w:eastAsia="zh-CN"/>
          <w14:textFill>
            <w14:solidFill>
              <w14:schemeClr w14:val="tx1"/>
            </w14:solidFill>
          </w14:textFill>
        </w:rPr>
        <w:t>7月11日</w:t>
      </w:r>
    </w:p>
    <w:p>
      <w:pPr>
        <w:widowControl/>
        <w:shd w:val="clear"/>
        <w:spacing w:before="0" w:beforeAutospacing="0" w:after="0" w:afterAutospacing="0" w:line="440" w:lineRule="exact"/>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72" w:name="_Toc7247"/>
      <w:bookmarkStart w:id="73" w:name="_Toc9258"/>
      <w:r>
        <w:rPr>
          <w:rFonts w:hint="eastAsia" w:ascii="宋体" w:hAnsi="宋体" w:eastAsia="宋体" w:cs="宋体"/>
          <w:b/>
          <w:bCs/>
          <w:color w:val="000000" w:themeColor="text1"/>
          <w:sz w:val="28"/>
          <w:szCs w:val="28"/>
          <w:highlight w:val="none"/>
          <w14:textFill>
            <w14:solidFill>
              <w14:schemeClr w14:val="tx1"/>
            </w14:solidFill>
          </w14:textFill>
        </w:rPr>
        <w:t>第六章  项目采购需求</w:t>
      </w:r>
      <w:bookmarkEnd w:id="72"/>
      <w:bookmarkEnd w:id="73"/>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1.供应商提供的服务必须符合国家和行业标准。</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2.标“★”为实质性参数要求和条件，供应商必须满足并在响应文件中如实作出响应，否则响应无效；标“▲”为重点指标；无标识的为一般指标。</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3.供应商响应时必须在响应文件中对所竞分标所有项目要求及技术需求内容、商务要求表中内容及附件内容（如有）逐条响应并一一对应。</w:t>
      </w:r>
    </w:p>
    <w:p>
      <w:pPr>
        <w:widowControl/>
        <w:shd w:val="clear"/>
        <w:topLinePunct/>
        <w:adjustRightInd w:val="0"/>
        <w:snapToGrid w:val="0"/>
        <w:spacing w:before="240" w:beforeAutospacing="0" w:after="60" w:afterAutospacing="0" w:line="440" w:lineRule="exact"/>
        <w:ind w:firstLine="422" w:firstLineChars="200"/>
        <w:jc w:val="left"/>
        <w:outlineLvl w:val="1"/>
        <w:rPr>
          <w:rFonts w:hint="eastAsia" w:ascii="宋体" w:hAnsi="宋体" w:eastAsia="宋体" w:cs="宋体"/>
          <w:b/>
          <w:bCs/>
          <w:color w:val="000000" w:themeColor="text1"/>
          <w:highlight w:val="none"/>
          <w14:textFill>
            <w14:solidFill>
              <w14:schemeClr w14:val="tx1"/>
            </w14:solidFill>
          </w14:textFill>
        </w:rPr>
      </w:pPr>
      <w:bookmarkStart w:id="74" w:name="_Toc31793"/>
      <w:bookmarkStart w:id="75" w:name="_Toc132880670"/>
      <w:r>
        <w:rPr>
          <w:rFonts w:hint="eastAsia" w:ascii="宋体" w:hAnsi="宋体" w:eastAsia="宋体" w:cs="宋体"/>
          <w:b/>
          <w:bCs/>
          <w:color w:val="000000" w:themeColor="text1"/>
          <w:highlight w:val="none"/>
          <w14:textFill>
            <w14:solidFill>
              <w14:schemeClr w14:val="tx1"/>
            </w14:solidFill>
          </w14:textFill>
        </w:rPr>
        <w:t>一、项目概况</w:t>
      </w:r>
      <w:bookmarkEnd w:id="74"/>
      <w:bookmarkEnd w:id="75"/>
    </w:p>
    <w:tbl>
      <w:tblPr>
        <w:tblStyle w:val="8"/>
        <w:tblW w:w="86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
        <w:gridCol w:w="2883"/>
        <w:gridCol w:w="243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953" w:type="dxa"/>
            <w:vAlign w:val="center"/>
          </w:tcPr>
          <w:p>
            <w:pPr>
              <w:widowControl/>
              <w:shd w:val="clear"/>
              <w:topLinePunct/>
              <w:snapToGrid w:val="0"/>
              <w:spacing w:before="60" w:beforeAutospacing="0" w:after="60" w:afterAutospacing="0" w:line="4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采购包</w:t>
            </w:r>
          </w:p>
        </w:tc>
        <w:tc>
          <w:tcPr>
            <w:tcW w:w="2883" w:type="dxa"/>
            <w:vAlign w:val="center"/>
          </w:tcPr>
          <w:p>
            <w:pPr>
              <w:widowControl/>
              <w:shd w:val="clear"/>
              <w:topLinePunct/>
              <w:snapToGrid w:val="0"/>
              <w:spacing w:before="60" w:beforeAutospacing="0" w:after="60" w:afterAutospacing="0" w:line="4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采购标的</w:t>
            </w:r>
          </w:p>
        </w:tc>
        <w:tc>
          <w:tcPr>
            <w:tcW w:w="2439" w:type="dxa"/>
            <w:vAlign w:val="center"/>
          </w:tcPr>
          <w:p>
            <w:pPr>
              <w:widowControl/>
              <w:shd w:val="clear"/>
              <w:topLinePunct/>
              <w:snapToGrid w:val="0"/>
              <w:spacing w:before="60" w:beforeAutospacing="0" w:after="60" w:afterAutospacing="0" w:line="4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最高限价</w:t>
            </w:r>
          </w:p>
        </w:tc>
        <w:tc>
          <w:tcPr>
            <w:tcW w:w="2420" w:type="dxa"/>
          </w:tcPr>
          <w:p>
            <w:pPr>
              <w:widowControl/>
              <w:shd w:val="clear"/>
              <w:topLinePunct/>
              <w:snapToGrid w:val="0"/>
              <w:spacing w:before="60" w:beforeAutospacing="0" w:after="60" w:afterAutospacing="0" w:line="4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Align w:val="center"/>
          </w:tcPr>
          <w:p>
            <w:pPr>
              <w:widowControl/>
              <w:shd w:val="clear"/>
              <w:topLinePunct/>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883" w:type="dxa"/>
            <w:vAlign w:val="center"/>
          </w:tcPr>
          <w:p>
            <w:pPr>
              <w:widowControl/>
              <w:shd w:val="clear"/>
              <w:topLinePunct/>
              <w:snapToGrid w:val="0"/>
              <w:spacing w:before="60" w:beforeAutospacing="0" w:after="60" w:afterAutospacing="0"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国家税务总局柳州市城中区税务局拍卖服务机构采购（重）</w:t>
            </w:r>
          </w:p>
        </w:tc>
        <w:tc>
          <w:tcPr>
            <w:tcW w:w="2439" w:type="dxa"/>
            <w:vAlign w:val="center"/>
          </w:tcPr>
          <w:p>
            <w:pPr>
              <w:pStyle w:val="18"/>
              <w:shd w:val="clear"/>
              <w:spacing w:before="131" w:line="228" w:lineRule="auto"/>
              <w:ind w:right="8"/>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pacing w:val="6"/>
                <w:sz w:val="21"/>
                <w:szCs w:val="22"/>
                <w:highlight w:val="none"/>
                <w:lang w:val="en-US" w:eastAsia="zh-CN"/>
                <w14:textFill>
                  <w14:solidFill>
                    <w14:schemeClr w14:val="tx1"/>
                  </w14:solidFill>
                </w14:textFill>
              </w:rPr>
              <w:t>下浮系数≥0%</w:t>
            </w:r>
          </w:p>
        </w:tc>
        <w:tc>
          <w:tcPr>
            <w:tcW w:w="2420" w:type="dxa"/>
            <w:vAlign w:val="center"/>
          </w:tcPr>
          <w:p>
            <w:pPr>
              <w:widowControl/>
              <w:shd w:val="clear"/>
              <w:topLinePunct/>
              <w:snapToGrid w:val="0"/>
              <w:spacing w:before="60" w:beforeAutospacing="0" w:after="60" w:afterAutospacing="0" w:line="44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批发业</w:t>
            </w:r>
          </w:p>
        </w:tc>
      </w:tr>
    </w:tbl>
    <w:p>
      <w:pPr>
        <w:shd w:val="clear"/>
        <w:spacing w:before="65" w:line="228" w:lineRule="auto"/>
        <w:ind w:left="425"/>
        <w:outlineLvl w:val="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6"/>
          <w:szCs w:val="21"/>
          <w:highlight w:val="none"/>
          <w14:textFill>
            <w14:solidFill>
              <w14:schemeClr w14:val="tx1"/>
            </w14:solidFill>
          </w14:textFill>
        </w:rPr>
        <w:t>二、技术要求</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（一）项目概况</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根据《国家税务总局广西壮族自治区税务局财务管理处关于全区税务系统采购代理服务有关事项的通知》(桂税财便函</w:t>
      </w:r>
      <w:r>
        <w:rPr>
          <w:rFonts w:hint="eastAsia" w:ascii="宋体" w:hAnsi="宋体" w:cs="宋体"/>
          <w:color w:val="000000" w:themeColor="text1"/>
          <w:szCs w:val="21"/>
          <w:highlight w:val="none"/>
          <w:lang w:eastAsia="zh-CN"/>
          <w14:textFill>
            <w14:solidFill>
              <w14:schemeClr w14:val="tx1"/>
            </w14:solidFill>
          </w14:textFill>
        </w:rPr>
        <w:t>〔2024〕33号</w:t>
      </w:r>
      <w:r>
        <w:rPr>
          <w:rFonts w:hint="eastAsia" w:ascii="宋体" w:hAnsi="宋体" w:eastAsia="宋体" w:cs="宋体"/>
          <w:color w:val="000000" w:themeColor="text1"/>
          <w:szCs w:val="21"/>
          <w:highlight w:val="none"/>
          <w14:textFill>
            <w14:solidFill>
              <w14:schemeClr w14:val="tx1"/>
            </w14:solidFill>
          </w14:textFill>
        </w:rPr>
        <w:t>) 和《抵税财物拍卖、变卖试行办法》（国家税务总局令第12号），国家税务总局柳州市城中区税务局（以下简称“</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”）通过磋商方式确定1家拍卖机构，作为负责</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 xml:space="preserve">抵税财物（以下简称“财物”）拍卖服务机构。需拍卖的罚没、抵税物资具有不确定性，随需即拍。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（二）服务要求</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1、严格按《中华人民共和国拍卖法》的有关规定进行拍卖。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2、遵循公开、公平、公正、诚实信用的原则，对委托的财物(包括不动产、动产、无形资产、股票等有价证券)进行拍卖，认真执行有关法律和法规， 对出具的《成交确认书》、拍卖笔录等有关资料负相应的法律责任。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3、接受</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 xml:space="preserve">检查、监督，严格履行服务承诺，遵守职业道德，对采购人提供的与拍卖相关的资料须严守秘密。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有专业的管理人员，并具备相应的专业知识，以及组织、协调和管理能力。针对本项目成立至少3人的服务团队，明确项目团队负责人及组成人员。(响应文件中须列明项目团队人员的姓名、专业职称、工作年限、联系电话等)，拍卖活动须由国家注册拍卖师主持。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5、成交供应商具备15天内组织1次拍卖财物的实施能力。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6、拍卖机构佣金的收取:拍卖机构可按国家规定向被执行人收取拍卖佣金。具体佣金收取不超过成交供应商在响应文件上的承诺佣金标准。采购人不向成交供应商支付拍卖佣金。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7、成交供应商负责到具体财物所在地采集、制作影像资料，并将拍卖的财物基本信息在拍卖会之日至少7日前，在法定媒体及甲方指定媒体发布拍卖公告，发布拍卖公告相关费用由成交供应商承担。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8、成交供应商应配合竞买人了解拍卖标的财物的瑕疵、查验拍卖标的财物和查阅有关拍卖资料；在采购人拍卖目的实现时，成交供应商派出有关人员协助采购人、买受人进行标的财物交接；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9、成交供应商承诺在签订合同后7个工作日内在柳州市区设有固定经营场所，拍卖举行场地由成交供应商与</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 xml:space="preserve">共同协商确定，拍卖会的场地租金、会场的布置费用、保安费用及会务人员等费用由成交供应商承担。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10、对财物拍卖中流拍资产或采购人失去拍卖优先权不算成交，不计佣金，采购人可收回，也可继续委托再次拍卖。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根据《抵税财物拍卖、变卖试行办法》（国家税务总局令第12号）第十一条，第十八条，成交供应商应委托依法设立并具有相应资质的评估鉴定机构，对拍卖财物进行质量鉴定和价格评估，该价格评估价作为拍卖标底价，拍卖成交价不能低于拍卖标底价，成交供应商应采用有底价增价拍卖方式进行公开拍卖。</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应将质量鉴定和价格评估结果通知被执行人。</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拍卖抵税财物应当确定保留价，由</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与被执行人协商确定，协商不成的，由</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参照评估价确定。</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拍卖一次流拍后，</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经与被执行人协商同意，可以将抵税财物进行变卖；被执行人不同意变卖的，应当进行第二次拍卖。经过流拍再次拍卖的，保留价应当不低于前次拍卖保留价的2/3。</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12、拍卖成交10个工作日内，成交供应商将《拍卖总结报告》交至</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 xml:space="preserve">。后续涉及产权过户的，成交供应商必须协助完成办理产权过户相关手续。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13、成交供应商负责办理竞买保证金的收、转、退结算。拍卖成交后，成交供应商应在确认买受人如约支付完全部成交款项(包括税费及佣金等)后不计息向买受人全额退还竞买保证金。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14、未按照规定要求和程序进行拍卖的，一经发现，</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 xml:space="preserve">有权收回财物拍卖资格，另委托其它拍卖企业进行。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15、成交供应商接受委托后，未经</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同意，不得委托其他拍卖机构拍卖。</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16、成交供应商对财物的拍卖保留价，应给予保密，并不得委托或代理他人参加竞价，亦不得擅自委托他人进行拍卖。 </w:t>
      </w:r>
    </w:p>
    <w:p>
      <w:pPr>
        <w:shd w:val="clear"/>
        <w:snapToGrid w:val="0"/>
        <w:spacing w:before="60" w:beforeAutospacing="0" w:after="60" w:afterAutospacing="0"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17、响应文件应提供详细的服务方案、宣传策划方案及实施措施。 </w:t>
      </w:r>
    </w:p>
    <w:p>
      <w:pPr>
        <w:shd w:val="clear"/>
        <w:spacing w:before="66" w:line="228" w:lineRule="auto"/>
        <w:ind w:left="419"/>
        <w:outlineLvl w:val="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6"/>
          <w:szCs w:val="21"/>
          <w:highlight w:val="none"/>
          <w14:textFill>
            <w14:solidFill>
              <w14:schemeClr w14:val="tx1"/>
            </w14:solidFill>
          </w14:textFill>
        </w:rPr>
        <w:t>三、商务要求</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1、报价要求：</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采用下浮系数报价，以《最高人民法院关于人民法院民事执行中拍卖、变卖财产的规定》（法释〔2004〕16号）第三十二条规定的拍卖佣金收费标准为“标准收费”，成交供应商收费按“（1-下浮系数）×标准收费”执行。</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（2）上限控制系数：下浮系数报价≥0%，低于该下浮系数的报价为无效报价。</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（3）供应商的响应报价均已包括了承担相应服务工作所需的劳务费、技术服务费、评审、交通、通讯、保险、税费和利润等一切费用，国家规定的相关调整系数自行考虑在内。</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2、合同签订期</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自成交通知书发出之日起25个自然日内。 </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3、服务期限</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自签订合同之日起至2028年</w:t>
      </w:r>
      <w:r>
        <w:rPr>
          <w:rFonts w:hint="eastAsia" w:ascii="宋体" w:hAnsi="宋体" w:cs="宋体"/>
          <w:color w:val="000000" w:themeColor="text1"/>
          <w:szCs w:val="21"/>
          <w:highlight w:val="none"/>
          <w:lang w:eastAsia="zh-CN"/>
          <w14:textFill>
            <w14:solidFill>
              <w14:schemeClr w14:val="tx1"/>
            </w14:solidFill>
          </w14:textFill>
        </w:rPr>
        <w:t>7月31日</w:t>
      </w:r>
      <w:r>
        <w:rPr>
          <w:rFonts w:hint="eastAsia" w:ascii="宋体" w:hAnsi="宋体" w:eastAsia="宋体" w:cs="宋体"/>
          <w:color w:val="000000" w:themeColor="text1"/>
          <w:szCs w:val="21"/>
          <w:highlight w:val="none"/>
          <w14:textFill>
            <w14:solidFill>
              <w14:schemeClr w14:val="tx1"/>
            </w14:solidFill>
          </w14:textFill>
        </w:rPr>
        <w:t xml:space="preserve">期间。 </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4、提供服务的地点：柳州市及抵税财物所在地</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费用支付：根据《抵税财物拍卖、变卖试行办法》（国家税务总局令第12号）第二十六条第一款，由被执行人承担拍卖变卖所发生的费用，包括扣押、查封活动中和拍卖或者变卖活动中发生的依法应由被执行人承担的费用，具体为：保管费、仓储费、运杂费、评估费、鉴定费、拍卖公告费、支付给变卖企业的手续费以及其他依法应由被执行人承担的费用。</w:t>
      </w:r>
      <w:r>
        <w:rPr>
          <w:rFonts w:hint="eastAsia" w:ascii="宋体" w:hAnsi="宋体" w:eastAsia="宋体" w:cs="宋体"/>
          <w:color w:val="000000" w:themeColor="text1"/>
          <w:sz w:val="21"/>
          <w:szCs w:val="21"/>
          <w:highlight w:val="none"/>
          <w14:textFill>
            <w14:solidFill>
              <w14:schemeClr w14:val="tx1"/>
            </w14:solidFill>
          </w14:textFill>
        </w:rPr>
        <w:t>拍卖物品的买受人未按照约定领受拍卖物品的，由买受人支付自应领受拍卖财物之日起的保管费用。</w:t>
      </w:r>
      <w:r>
        <w:rPr>
          <w:rFonts w:hint="eastAsia" w:ascii="宋体" w:hAnsi="宋体" w:eastAsia="宋体" w:cs="宋体"/>
          <w:color w:val="000000" w:themeColor="text1"/>
          <w:szCs w:val="21"/>
          <w:highlight w:val="none"/>
          <w14:textFill>
            <w14:solidFill>
              <w14:schemeClr w14:val="tx1"/>
            </w14:solidFill>
          </w14:textFill>
        </w:rPr>
        <w:t>根据上述规定，产生相关费用，由成交供应商从拍卖、变卖收入中抵缴。</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根据《抵税财物拍卖、变卖试行办法》（国家税务总局令第12号）第三十条，被执行人在拍卖、变卖成交前缴清了税款、滞纳金的，经</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通知，成交供应商应当终止拍卖或者变卖活动，并配合</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将商品、货物或其他财产退还被执行人，扣押、查封、保管以及拍卖或者变卖已经产生的费用由被执行人承担。</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被执行人拒不承担上述相关费用的，继续进行拍卖或者变卖，以拍卖、变卖收入扣除被执行人应承担的扣押、查封、保管、拍卖或者变卖费用后，剩余部分应配合</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在3个工作日内返还被执行人。</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付款方式：在服务期内，拍卖机构可按（1-下浮系数）×标准收费向被执行人收取相应佣金。具体佣金收取不超过成交供应商在响应文件上的承诺佣金标准；拍卖成交的，拍卖佣金由成交供应商向被执行人收取，采购人不向成交供应商支付拍卖佣金。</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7、服务响应时间要求：及时响应</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 xml:space="preserve">需求，应于60分钟内给予响应；需到达指定现场的，柳州市内2小时到达，广西区内4小时到达。 </w:t>
      </w:r>
    </w:p>
    <w:p>
      <w:pPr>
        <w:shd w:val="clear"/>
        <w:spacing w:before="65" w:line="229" w:lineRule="auto"/>
        <w:ind w:left="441"/>
        <w:outlineLvl w:val="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3"/>
          <w:szCs w:val="21"/>
          <w:highlight w:val="none"/>
          <w14:textFill>
            <w14:solidFill>
              <w14:schemeClr w14:val="tx1"/>
            </w14:solidFill>
          </w14:textFill>
        </w:rPr>
        <w:t>四、其他要求</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1、对合同签订后，因签署或履行合同而了解或接触到</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涉税非公开信息和资料（下称“保密信息”），</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均应保守秘密，非经书面同意，不得向第三方泄露、给予或转让该保密信息。</w:t>
      </w:r>
    </w:p>
    <w:p>
      <w:pPr>
        <w:shd w:val="clear"/>
        <w:spacing w:before="220" w:line="417" w:lineRule="auto"/>
        <w:ind w:left="3" w:right="69" w:firstLine="41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2、在服务有效期内，如成交供应商不能履行采购合同提供上述服务的，或在拍卖活动中出现重大责任事项和违约、违法违规行为的，</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有权解除采购合同，终止其承办财物拍卖的资格，造成损失的，</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将追究其法律责任。</w:t>
      </w:r>
    </w:p>
    <w:p>
      <w:pPr>
        <w:shd w:val="clear"/>
        <w:spacing w:before="220" w:line="417" w:lineRule="auto"/>
        <w:ind w:left="3" w:right="69" w:firstLine="418"/>
        <w:rPr>
          <w:rFonts w:hint="eastAsia" w:ascii="宋体" w:hAnsi="宋体" w:eastAsia="宋体" w:cs="宋体"/>
          <w:color w:val="000000" w:themeColor="text1"/>
          <w:szCs w:val="21"/>
          <w:highlight w:val="none"/>
          <w:lang w:val="en-US" w:eastAsia="zh-CN"/>
          <w14:textFill>
            <w14:solidFill>
              <w14:schemeClr w14:val="tx1"/>
            </w14:solidFill>
          </w14:textFill>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script"/>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p/>
  <w:p/>
  <w:p/>
  <w:p/>
  <w:p/>
  <w:p/>
  <w:p/>
  <w:p/>
  <w:p/>
  <w:p/>
  <w:p/>
  <w:p/>
  <w:p/>
  <w:p/>
  <w:p/>
  <w:p/>
  <w:p/>
  <w:p/>
  <w:p/>
  <w:p/>
  <w:p/>
  <w:p/>
  <w:p/>
  <w:p/>
  <w:p/>
  <w:p/>
  <w:p/>
  <w:p/>
  <w:p/>
  <w:p/>
  <w:p/>
  <w:p/>
  <w:p/>
  <w:p/>
  <w:p/>
  <w:p/>
  <w:p/>
  <w:p/>
  <w:p/>
  <w:p/>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6673F"/>
    <w:rsid w:val="051F38A2"/>
    <w:rsid w:val="0D384CD3"/>
    <w:rsid w:val="17E6673F"/>
    <w:rsid w:val="19CE4C37"/>
    <w:rsid w:val="206D3F96"/>
    <w:rsid w:val="28AA6FC3"/>
    <w:rsid w:val="39664A21"/>
    <w:rsid w:val="570F6016"/>
    <w:rsid w:val="63702D58"/>
    <w:rsid w:val="7957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exact"/>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0" w:beforeAutospacing="0" w:after="0" w:afterAutospacing="0" w:line="240" w:lineRule="auto"/>
    </w:pPr>
    <w:rPr>
      <w:rFonts w:ascii="Calibri" w:hAnsi="Calibri"/>
      <w:b/>
      <w:szCs w:val="24"/>
    </w:rPr>
  </w:style>
  <w:style w:type="paragraph" w:styleId="3">
    <w:name w:val="Plain Text"/>
    <w:basedOn w:val="1"/>
    <w:next w:val="1"/>
    <w:unhideWhenUsed/>
    <w:qFormat/>
    <w:uiPriority w:val="99"/>
    <w:pPr>
      <w:spacing w:before="0" w:beforeAutospacing="0" w:after="0" w:afterAutospacing="0" w:line="240" w:lineRule="auto"/>
    </w:pPr>
    <w:rPr>
      <w:rFonts w:ascii="宋体" w:hAnsi="Courier New" w:cs="Courier New"/>
      <w:szCs w:val="21"/>
    </w:rPr>
  </w:style>
  <w:style w:type="paragraph" w:styleId="4">
    <w:name w:val="footer"/>
    <w:basedOn w:val="1"/>
    <w:next w:val="1"/>
    <w:unhideWhenUsed/>
    <w:qFormat/>
    <w:uiPriority w:val="99"/>
    <w:pPr>
      <w:tabs>
        <w:tab w:val="center" w:pos="4153"/>
        <w:tab w:val="right" w:pos="8306"/>
      </w:tabs>
      <w:snapToGrid w:val="0"/>
      <w:spacing w:before="0" w:beforeAutospacing="0" w:after="0" w:afterAutospacing="0" w:line="240" w:lineRule="auto"/>
      <w:jc w:val="left"/>
    </w:pPr>
    <w:rPr>
      <w:rFonts w:ascii="Calibri" w:hAnsi="Calibri"/>
      <w:sz w:val="18"/>
      <w:szCs w:val="18"/>
    </w:rPr>
  </w:style>
  <w:style w:type="paragraph" w:styleId="5">
    <w:name w:val="toc 1"/>
    <w:basedOn w:val="1"/>
    <w:next w:val="1"/>
    <w:unhideWhenUsed/>
    <w:qFormat/>
    <w:uiPriority w:val="39"/>
    <w:pPr>
      <w:spacing w:before="0" w:beforeAutospacing="0" w:after="0" w:afterAutospacing="0" w:line="240" w:lineRule="auto"/>
    </w:pPr>
    <w:rPr>
      <w:rFonts w:ascii="Calibri" w:hAnsi="Calibri"/>
    </w:rPr>
  </w:style>
  <w:style w:type="paragraph" w:styleId="6">
    <w:name w:val="toc 2"/>
    <w:basedOn w:val="1"/>
    <w:next w:val="1"/>
    <w:unhideWhenUsed/>
    <w:qFormat/>
    <w:uiPriority w:val="39"/>
    <w:pPr>
      <w:spacing w:before="0" w:beforeAutospacing="0" w:after="0" w:afterAutospacing="0" w:line="240" w:lineRule="auto"/>
      <w:ind w:left="420" w:leftChars="200"/>
    </w:pPr>
    <w:rPr>
      <w:rFonts w:ascii="Calibri" w:hAnsi="Calibri"/>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99"/>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标题 5（有编号）（绿盟科技）"/>
    <w:basedOn w:val="1"/>
    <w:next w:val="14"/>
    <w:qFormat/>
    <w:uiPriority w:val="99"/>
    <w:pPr>
      <w:keepNext/>
      <w:keepLines/>
      <w:widowControl/>
      <w:numPr>
        <w:ilvl w:val="4"/>
        <w:numId w:val="1"/>
      </w:numPr>
      <w:kinsoku w:val="0"/>
      <w:autoSpaceDE w:val="0"/>
      <w:autoSpaceDN w:val="0"/>
      <w:adjustRightInd w:val="0"/>
      <w:snapToGrid w:val="0"/>
      <w:spacing w:before="280" w:beforeAutospacing="0" w:after="156" w:afterAutospacing="0" w:line="376" w:lineRule="auto"/>
      <w:jc w:val="left"/>
      <w:outlineLvl w:val="4"/>
    </w:pPr>
    <w:rPr>
      <w:rFonts w:ascii="Arial" w:hAnsi="Arial" w:eastAsia="黑体" w:cs="黑体"/>
      <w:b/>
      <w:color w:val="000000"/>
      <w:kern w:val="0"/>
      <w:sz w:val="24"/>
      <w:szCs w:val="28"/>
    </w:rPr>
  </w:style>
  <w:style w:type="paragraph" w:customStyle="1" w:styleId="14">
    <w:name w:val="正文（绿盟科技）"/>
    <w:qFormat/>
    <w:uiPriority w:val="99"/>
    <w:pPr>
      <w:autoSpaceDN w:val="0"/>
      <w:spacing w:line="300" w:lineRule="auto"/>
    </w:pPr>
    <w:rPr>
      <w:rFonts w:ascii="Arial" w:hAnsi="Arial" w:eastAsia="宋体" w:cs="黑体"/>
      <w:sz w:val="21"/>
      <w:szCs w:val="21"/>
      <w:lang w:val="en-US" w:eastAsia="zh-CN" w:bidi="ar-SA"/>
    </w:rPr>
  </w:style>
  <w:style w:type="paragraph" w:customStyle="1" w:styleId="15">
    <w:name w:val="Normal Indent1"/>
    <w:qFormat/>
    <w:uiPriority w:val="99"/>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6">
    <w:name w:val="null3"/>
    <w:qFormat/>
    <w:uiPriority w:val="0"/>
    <w:rPr>
      <w:rFonts w:hint="eastAsia" w:ascii="Times New Roman" w:hAnsi="Times New Roman" w:eastAsia="宋体" w:cs="Times New Roman"/>
      <w:lang w:val="en-US" w:eastAsia="zh-CN" w:bidi="ar-SA"/>
    </w:rPr>
  </w:style>
  <w:style w:type="paragraph" w:customStyle="1" w:styleId="17">
    <w:name w:val="样式1"/>
    <w:basedOn w:val="1"/>
    <w:qFormat/>
    <w:uiPriority w:val="0"/>
    <w:pPr>
      <w:spacing w:before="0" w:beforeAutospacing="0" w:after="0" w:afterAutospacing="0" w:line="240" w:lineRule="auto"/>
      <w:jc w:val="center"/>
    </w:pPr>
    <w:rPr>
      <w:rFonts w:ascii="Calibri" w:hAnsi="Calibri" w:eastAsia="方正大标宋简体"/>
      <w:sz w:val="52"/>
    </w:rPr>
  </w:style>
  <w:style w:type="paragraph" w:customStyle="1" w:styleId="18">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2463</Words>
  <Characters>2955</Characters>
  <Lines>0</Lines>
  <Paragraphs>0</Paragraphs>
  <TotalTime>69</TotalTime>
  <ScaleCrop>false</ScaleCrop>
  <LinksUpToDate>false</LinksUpToDate>
  <CharactersWithSpaces>3030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2025-06-23T10:01:00Z</dcterms:created>
  <dc:creator>吴兴红</dc:creator>
  <cp:lastModifiedBy>宋群</cp:lastModifiedBy>
  <dcterms:modified xsi:type="dcterms:W3CDTF">2025-07-11T01:12:20Z</dcterms:modified>
  <dc:title>磋商文件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25F7C9EE28C04F6194E34EA74F526EDC_13</vt:lpwstr>
  </property>
  <property fmtid="{D5CDD505-2E9C-101B-9397-08002B2CF9AE}" pid="4" name="KSOTemplateDocerSaveRecord">
    <vt:lpwstr>eyJoZGlkIjoiZGFkYTQzMzkwZTgyMDBlYmE3MjJlMGIxNjlmNmM4MjAiLCJ1c2VySWQiOiIyMzc2NjUxMyJ9</vt:lpwstr>
  </property>
</Properties>
</file>