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color w:val="auto"/>
          <w:spacing w:val="116"/>
          <w:sz w:val="52"/>
          <w:highlight w:val="none"/>
        </w:rPr>
      </w:pPr>
    </w:p>
    <w:p>
      <w:pPr>
        <w:jc w:val="center"/>
        <w:rPr>
          <w:rFonts w:ascii="华文新魏" w:hAnsi="华文新魏" w:eastAsia="华文新魏"/>
          <w:color w:val="auto"/>
          <w:sz w:val="72"/>
          <w:szCs w:val="72"/>
          <w:highlight w:val="none"/>
        </w:rPr>
      </w:pPr>
    </w:p>
    <w:p>
      <w:pPr>
        <w:jc w:val="center"/>
        <w:rPr>
          <w:color w:val="auto"/>
          <w:sz w:val="72"/>
          <w:szCs w:val="72"/>
          <w:highlight w:val="none"/>
        </w:rPr>
      </w:pPr>
      <w:r>
        <w:rPr>
          <w:rFonts w:hint="eastAsia" w:ascii="华文新魏" w:hAnsi="华文新魏" w:eastAsia="华文新魏"/>
          <w:color w:val="auto"/>
          <w:sz w:val="72"/>
          <w:szCs w:val="72"/>
          <w:highlight w:val="none"/>
        </w:rPr>
        <w:t>广西科联招标中心有限公司</w:t>
      </w:r>
    </w:p>
    <w:p>
      <w:pPr>
        <w:jc w:val="center"/>
        <w:rPr>
          <w:rFonts w:ascii="华文新魏" w:hAnsi="华文新魏" w:eastAsia="华文新魏"/>
          <w:color w:val="auto"/>
          <w:spacing w:val="116"/>
          <w:sz w:val="52"/>
          <w:highlight w:val="none"/>
        </w:rPr>
      </w:pPr>
    </w:p>
    <w:p>
      <w:pPr>
        <w:jc w:val="center"/>
        <w:rPr>
          <w:color w:val="auto"/>
          <w:szCs w:val="84"/>
          <w:highlight w:val="none"/>
        </w:rPr>
      </w:pPr>
      <w:r>
        <w:rPr>
          <w:rFonts w:hint="eastAsia" w:ascii="楷体_GB2312" w:eastAsia="楷体_GB2312"/>
          <w:b/>
          <w:bCs/>
          <w:color w:val="auto"/>
          <w:spacing w:val="100"/>
          <w:sz w:val="84"/>
          <w:szCs w:val="84"/>
          <w:highlight w:val="none"/>
        </w:rPr>
        <w:t>磋商文件</w:t>
      </w:r>
    </w:p>
    <w:p>
      <w:pPr>
        <w:jc w:val="center"/>
        <w:rPr>
          <w:color w:val="auto"/>
          <w:highlight w:val="none"/>
        </w:rPr>
      </w:pPr>
    </w:p>
    <w:p>
      <w:pPr>
        <w:jc w:val="center"/>
        <w:rPr>
          <w:b/>
          <w:color w:val="auto"/>
          <w:sz w:val="36"/>
          <w:szCs w:val="36"/>
          <w:highlight w:val="none"/>
        </w:rPr>
      </w:pPr>
    </w:p>
    <w:p>
      <w:pPr>
        <w:jc w:val="center"/>
        <w:rPr>
          <w:color w:val="auto"/>
          <w:highlight w:val="none"/>
        </w:rPr>
      </w:pPr>
    </w:p>
    <w:p>
      <w:pPr>
        <w:jc w:val="center"/>
        <w:rPr>
          <w:color w:val="auto"/>
          <w:highlight w:val="none"/>
        </w:rPr>
      </w:pPr>
    </w:p>
    <w:p>
      <w:pPr>
        <w:spacing w:line="480" w:lineRule="auto"/>
        <w:ind w:firstLine="1108" w:firstLineChars="345"/>
        <w:rPr>
          <w:rFonts w:hint="eastAsia"/>
          <w:b/>
          <w:color w:val="auto"/>
          <w:sz w:val="32"/>
          <w:highlight w:val="none"/>
          <w:lang w:eastAsia="zh-CN"/>
        </w:rPr>
      </w:pPr>
      <w:r>
        <w:rPr>
          <w:rFonts w:hint="eastAsia"/>
          <w:b/>
          <w:color w:val="auto"/>
          <w:sz w:val="32"/>
          <w:highlight w:val="none"/>
        </w:rPr>
        <w:t>项目名称：</w:t>
      </w:r>
      <w:r>
        <w:rPr>
          <w:rFonts w:hint="eastAsia"/>
          <w:b/>
          <w:sz w:val="32"/>
        </w:rPr>
        <w:t>国家税务总局南宁市良庆区税务局</w:t>
      </w:r>
    </w:p>
    <w:p>
      <w:pPr>
        <w:spacing w:line="480" w:lineRule="auto"/>
        <w:ind w:firstLine="2554" w:firstLineChars="795"/>
        <w:rPr>
          <w:rFonts w:hint="eastAsia"/>
          <w:b/>
          <w:color w:val="auto"/>
          <w:sz w:val="32"/>
          <w:highlight w:val="none"/>
        </w:rPr>
      </w:pPr>
      <w:r>
        <w:rPr>
          <w:rFonts w:hint="eastAsia"/>
          <w:b/>
          <w:color w:val="auto"/>
          <w:sz w:val="32"/>
          <w:highlight w:val="none"/>
        </w:rPr>
        <w:t>2022年视频拍摄制作服务</w:t>
      </w:r>
    </w:p>
    <w:p>
      <w:pPr>
        <w:spacing w:line="480" w:lineRule="auto"/>
        <w:ind w:firstLine="2554" w:firstLineChars="795"/>
        <w:rPr>
          <w:b/>
          <w:color w:val="auto"/>
          <w:sz w:val="32"/>
          <w:highlight w:val="none"/>
        </w:rPr>
      </w:pPr>
      <w:r>
        <w:rPr>
          <w:rFonts w:hint="eastAsia"/>
          <w:b/>
          <w:color w:val="auto"/>
          <w:sz w:val="32"/>
          <w:highlight w:val="none"/>
        </w:rPr>
        <w:t>（本项目为目录外标准下）</w:t>
      </w:r>
    </w:p>
    <w:p>
      <w:pPr>
        <w:spacing w:line="480" w:lineRule="auto"/>
        <w:ind w:firstLine="1285" w:firstLineChars="400"/>
        <w:rPr>
          <w:rFonts w:hint="eastAsia" w:eastAsia="宋体"/>
          <w:b/>
          <w:color w:val="auto"/>
          <w:sz w:val="32"/>
          <w:highlight w:val="none"/>
          <w:lang w:eastAsia="zh-CN"/>
        </w:rPr>
      </w:pPr>
      <w:r>
        <w:rPr>
          <w:rFonts w:hint="eastAsia"/>
          <w:b/>
          <w:color w:val="auto"/>
          <w:sz w:val="32"/>
          <w:highlight w:val="none"/>
        </w:rPr>
        <w:t>项目编号：</w:t>
      </w:r>
      <w:r>
        <w:rPr>
          <w:rFonts w:hint="eastAsia"/>
          <w:b/>
          <w:color w:val="auto"/>
          <w:sz w:val="32"/>
          <w:highlight w:val="none"/>
          <w:lang w:eastAsia="zh-CN"/>
        </w:rPr>
        <w:t>GXKLC20223084</w:t>
      </w:r>
    </w:p>
    <w:p>
      <w:pPr>
        <w:spacing w:line="480" w:lineRule="auto"/>
        <w:ind w:left="838" w:leftChars="399"/>
        <w:jc w:val="center"/>
        <w:rPr>
          <w:b/>
          <w:color w:val="auto"/>
          <w:sz w:val="32"/>
          <w:highlight w:val="none"/>
        </w:rPr>
      </w:pPr>
    </w:p>
    <w:p>
      <w:pPr>
        <w:spacing w:line="480" w:lineRule="auto"/>
        <w:ind w:left="838" w:leftChars="399" w:firstLine="964" w:firstLineChars="300"/>
        <w:rPr>
          <w:b/>
          <w:color w:val="auto"/>
          <w:sz w:val="32"/>
          <w:szCs w:val="32"/>
          <w:highlight w:val="none"/>
        </w:rPr>
      </w:pPr>
    </w:p>
    <w:p>
      <w:pPr>
        <w:spacing w:line="480" w:lineRule="auto"/>
        <w:ind w:left="838" w:leftChars="399" w:firstLine="964" w:firstLineChars="300"/>
        <w:rPr>
          <w:b/>
          <w:color w:val="auto"/>
          <w:sz w:val="32"/>
          <w:szCs w:val="32"/>
          <w:highlight w:val="none"/>
        </w:rPr>
      </w:pPr>
    </w:p>
    <w:p>
      <w:pPr>
        <w:spacing w:line="480" w:lineRule="auto"/>
        <w:ind w:left="838" w:leftChars="399" w:firstLine="948" w:firstLineChars="295"/>
        <w:rPr>
          <w:b/>
          <w:color w:val="auto"/>
          <w:sz w:val="32"/>
          <w:szCs w:val="32"/>
          <w:highlight w:val="none"/>
        </w:rPr>
      </w:pPr>
      <w:r>
        <w:rPr>
          <w:rFonts w:hint="eastAsia"/>
          <w:b/>
          <w:color w:val="auto"/>
          <w:sz w:val="32"/>
          <w:szCs w:val="32"/>
          <w:highlight w:val="none"/>
        </w:rPr>
        <w:t>采购单位：</w:t>
      </w:r>
      <w:r>
        <w:rPr>
          <w:rFonts w:hint="eastAsia"/>
          <w:b/>
          <w:color w:val="auto"/>
          <w:sz w:val="32"/>
          <w:szCs w:val="32"/>
          <w:highlight w:val="none"/>
          <w:lang w:eastAsia="zh-CN"/>
        </w:rPr>
        <w:t>国家税务总局南宁市良庆区税务局</w:t>
      </w:r>
      <w:r>
        <w:rPr>
          <w:b/>
          <w:color w:val="auto"/>
          <w:sz w:val="32"/>
          <w:szCs w:val="32"/>
          <w:highlight w:val="none"/>
        </w:rPr>
        <w:t xml:space="preserve"> </w:t>
      </w:r>
    </w:p>
    <w:p>
      <w:pPr>
        <w:spacing w:line="480" w:lineRule="auto"/>
        <w:ind w:left="-2" w:leftChars="-1" w:firstLine="1767" w:firstLineChars="550"/>
        <w:rPr>
          <w:b/>
          <w:color w:val="auto"/>
          <w:sz w:val="32"/>
          <w:szCs w:val="32"/>
          <w:highlight w:val="none"/>
        </w:rPr>
      </w:pPr>
      <w:r>
        <w:rPr>
          <w:rFonts w:hint="eastAsia"/>
          <w:b/>
          <w:color w:val="auto"/>
          <w:sz w:val="32"/>
          <w:szCs w:val="32"/>
          <w:highlight w:val="none"/>
        </w:rPr>
        <w:t>采购代理机构：广西科联招标中心有限公司</w:t>
      </w:r>
    </w:p>
    <w:p>
      <w:pPr>
        <w:spacing w:line="480" w:lineRule="auto"/>
        <w:ind w:left="-2" w:leftChars="-1" w:firstLine="1767" w:firstLineChars="550"/>
        <w:rPr>
          <w:b/>
          <w:color w:val="auto"/>
          <w:sz w:val="32"/>
          <w:szCs w:val="32"/>
          <w:highlight w:val="none"/>
        </w:rPr>
      </w:pPr>
    </w:p>
    <w:p>
      <w:pPr>
        <w:spacing w:line="600" w:lineRule="auto"/>
        <w:jc w:val="center"/>
        <w:rPr>
          <w:rFonts w:hint="eastAsia"/>
          <w:b/>
          <w:color w:val="auto"/>
          <w:sz w:val="32"/>
          <w:szCs w:val="32"/>
          <w:highlight w:val="none"/>
          <w:lang w:val="en-US" w:eastAsia="zh-CN"/>
        </w:rPr>
      </w:pPr>
      <w:r>
        <w:rPr>
          <w:b/>
          <w:color w:val="auto"/>
          <w:sz w:val="32"/>
          <w:szCs w:val="32"/>
          <w:highlight w:val="none"/>
        </w:rPr>
        <w:t>202</w:t>
      </w:r>
      <w:r>
        <w:rPr>
          <w:rFonts w:hint="eastAsia"/>
          <w:b/>
          <w:color w:val="auto"/>
          <w:sz w:val="32"/>
          <w:szCs w:val="32"/>
          <w:highlight w:val="none"/>
          <w:lang w:val="en-US" w:eastAsia="zh-CN"/>
        </w:rPr>
        <w:t>2</w:t>
      </w:r>
      <w:r>
        <w:rPr>
          <w:b/>
          <w:color w:val="auto"/>
          <w:sz w:val="32"/>
          <w:szCs w:val="32"/>
          <w:highlight w:val="none"/>
        </w:rPr>
        <w:t>年</w:t>
      </w:r>
      <w:r>
        <w:rPr>
          <w:rFonts w:hint="eastAsia"/>
          <w:b/>
          <w:color w:val="auto"/>
          <w:sz w:val="32"/>
          <w:szCs w:val="32"/>
          <w:highlight w:val="none"/>
          <w:lang w:val="en-US" w:eastAsia="zh-CN"/>
        </w:rPr>
        <w:t>6</w:t>
      </w:r>
      <w:r>
        <w:rPr>
          <w:rFonts w:hint="eastAsia"/>
          <w:b/>
          <w:color w:val="auto"/>
          <w:sz w:val="32"/>
          <w:szCs w:val="32"/>
          <w:highlight w:val="none"/>
        </w:rPr>
        <w:t>月</w:t>
      </w:r>
      <w:r>
        <w:rPr>
          <w:rFonts w:hint="eastAsia"/>
          <w:b/>
          <w:color w:val="auto"/>
          <w:sz w:val="32"/>
          <w:szCs w:val="32"/>
          <w:highlight w:val="none"/>
          <w:lang w:val="en-US" w:eastAsia="zh-CN"/>
        </w:rPr>
        <w:t>13日</w:t>
      </w:r>
    </w:p>
    <w:p>
      <w:pPr>
        <w:spacing w:line="600" w:lineRule="auto"/>
        <w:jc w:val="center"/>
        <w:rPr>
          <w:rFonts w:hint="eastAsia" w:asciiTheme="minorEastAsia" w:hAnsiTheme="minorEastAsia" w:eastAsiaTheme="minorEastAsia" w:cstheme="minorEastAsia"/>
          <w:b/>
          <w:color w:val="auto"/>
          <w:sz w:val="44"/>
          <w:szCs w:val="52"/>
          <w:highlight w:val="none"/>
        </w:rPr>
        <w:sectPr>
          <w:footerReference r:id="rId3" w:type="first"/>
          <w:pgSz w:w="11906" w:h="16838"/>
          <w:pgMar w:top="1270" w:right="1474" w:bottom="1157" w:left="1587" w:header="851" w:footer="992" w:gutter="0"/>
          <w:pgNumType w:fmt="decimal" w:start="0"/>
          <w:cols w:space="720" w:num="1"/>
          <w:rtlGutter w:val="0"/>
          <w:docGrid w:type="lines" w:linePitch="312" w:charSpace="0"/>
        </w:sectPr>
      </w:pPr>
    </w:p>
    <w:p>
      <w:pPr>
        <w:spacing w:line="600" w:lineRule="auto"/>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44"/>
          <w:szCs w:val="52"/>
          <w:highlight w:val="none"/>
        </w:rPr>
        <w:t>目录</w:t>
      </w:r>
    </w:p>
    <w:p>
      <w:pPr>
        <w:pStyle w:val="27"/>
        <w:spacing w:line="600" w:lineRule="auto"/>
        <w:jc w:val="center"/>
        <w:rPr>
          <w:rFonts w:hint="eastAsia" w:asciiTheme="minorEastAsia" w:hAnsiTheme="minorEastAsia" w:eastAsiaTheme="minorEastAsia" w:cstheme="minorEastAsia"/>
          <w:color w:val="auto"/>
          <w:szCs w:val="30"/>
          <w:highlight w:val="none"/>
        </w:rPr>
      </w:pPr>
      <w:r>
        <w:rPr>
          <w:rFonts w:hint="eastAsia" w:asciiTheme="minorEastAsia" w:hAnsiTheme="minorEastAsia" w:eastAsiaTheme="minorEastAsia" w:cstheme="minorEastAsia"/>
          <w:color w:val="auto"/>
          <w:szCs w:val="30"/>
          <w:highlight w:val="none"/>
        </w:rPr>
        <w:t>第一部分　商务部分</w:t>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TOC \o "1-3" \h \z \u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_Toc9180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第一章 磋商邀请</w:t>
      </w:r>
      <w:r>
        <w:rPr>
          <w:color w:val="auto"/>
          <w:highlight w:val="none"/>
        </w:rPr>
        <w:tab/>
      </w:r>
      <w:r>
        <w:rPr>
          <w:color w:val="auto"/>
          <w:highlight w:val="none"/>
        </w:rPr>
        <w:fldChar w:fldCharType="begin"/>
      </w:r>
      <w:r>
        <w:rPr>
          <w:color w:val="auto"/>
          <w:highlight w:val="none"/>
        </w:rPr>
        <w:instrText xml:space="preserve"> PAGEREF _Toc9180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_Toc31183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_Toc31183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_Toc22872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第三章 评审方法及标准</w:t>
      </w:r>
      <w:r>
        <w:rPr>
          <w:color w:val="auto"/>
          <w:highlight w:val="none"/>
        </w:rPr>
        <w:tab/>
      </w:r>
      <w:r>
        <w:rPr>
          <w:color w:val="auto"/>
          <w:highlight w:val="none"/>
        </w:rPr>
        <w:fldChar w:fldCharType="begin"/>
      </w:r>
      <w:r>
        <w:rPr>
          <w:color w:val="auto"/>
          <w:highlight w:val="none"/>
        </w:rPr>
        <w:instrText xml:space="preserve"> PAGEREF _Toc22872 </w:instrText>
      </w:r>
      <w:r>
        <w:rPr>
          <w:color w:val="auto"/>
          <w:highlight w:val="none"/>
        </w:rPr>
        <w:fldChar w:fldCharType="separate"/>
      </w:r>
      <w:r>
        <w:rPr>
          <w:color w:val="auto"/>
          <w:highlight w:val="none"/>
        </w:rPr>
        <w:t>26</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_Toc26773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 xml:space="preserve">第四章 </w:t>
      </w:r>
      <w:r>
        <w:rPr>
          <w:rFonts w:hint="eastAsia" w:asciiTheme="minorEastAsia" w:hAnsiTheme="minorEastAsia" w:eastAsiaTheme="minorEastAsia" w:cstheme="minorEastAsia"/>
          <w:b/>
          <w:bCs/>
          <w:color w:val="auto"/>
          <w:sz w:val="32"/>
          <w:szCs w:val="32"/>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_Toc26773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_Toc3075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第五章 响应文件组成</w:t>
      </w:r>
      <w:r>
        <w:rPr>
          <w:color w:val="auto"/>
          <w:highlight w:val="none"/>
        </w:rPr>
        <w:tab/>
      </w:r>
      <w:r>
        <w:rPr>
          <w:color w:val="auto"/>
          <w:highlight w:val="none"/>
        </w:rPr>
        <w:fldChar w:fldCharType="begin"/>
      </w:r>
      <w:r>
        <w:rPr>
          <w:color w:val="auto"/>
          <w:highlight w:val="none"/>
        </w:rPr>
        <w:instrText xml:space="preserve"> PAGEREF _Toc3075 </w:instrText>
      </w:r>
      <w:r>
        <w:rPr>
          <w:color w:val="auto"/>
          <w:highlight w:val="none"/>
        </w:rPr>
        <w:fldChar w:fldCharType="separate"/>
      </w:r>
      <w:r>
        <w:rPr>
          <w:color w:val="auto"/>
          <w:highlight w:val="none"/>
        </w:rPr>
        <w:t>43</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tabs>
          <w:tab w:val="right" w:leader="dot" w:pos="9639"/>
        </w:tabs>
        <w:spacing w:line="600" w:lineRule="auto"/>
        <w:jc w:val="center"/>
        <w:rPr>
          <w:rFonts w:hint="eastAsia" w:asciiTheme="minorEastAsia" w:hAnsiTheme="minorEastAsia" w:eastAsiaTheme="minorEastAsia" w:cstheme="minorEastAsia"/>
          <w:b/>
          <w:color w:val="auto"/>
          <w:sz w:val="36"/>
          <w:szCs w:val="32"/>
          <w:highlight w:val="none"/>
          <w:u w:val="single"/>
        </w:rPr>
      </w:pPr>
      <w:r>
        <w:rPr>
          <w:rFonts w:hint="eastAsia" w:asciiTheme="minorEastAsia" w:hAnsiTheme="minorEastAsia" w:eastAsiaTheme="minorEastAsia" w:cstheme="minorEastAsia"/>
          <w:b/>
          <w:color w:val="auto"/>
          <w:sz w:val="32"/>
          <w:szCs w:val="30"/>
          <w:highlight w:val="none"/>
        </w:rPr>
        <w:t>第二部分　技术部分</w:t>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_Toc17978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第六章 项目采购需求</w:t>
      </w:r>
      <w:r>
        <w:rPr>
          <w:color w:val="auto"/>
          <w:highlight w:val="none"/>
        </w:rPr>
        <w:tab/>
      </w:r>
      <w:r>
        <w:rPr>
          <w:color w:val="auto"/>
          <w:highlight w:val="none"/>
        </w:rPr>
        <w:fldChar w:fldCharType="begin"/>
      </w:r>
      <w:r>
        <w:rPr>
          <w:color w:val="auto"/>
          <w:highlight w:val="none"/>
        </w:rPr>
        <w:instrText xml:space="preserve"> PAGEREF _Toc17978 </w:instrText>
      </w:r>
      <w:r>
        <w:rPr>
          <w:color w:val="auto"/>
          <w:highlight w:val="none"/>
        </w:rPr>
        <w:fldChar w:fldCharType="separate"/>
      </w:r>
      <w:r>
        <w:rPr>
          <w:color w:val="auto"/>
          <w:highlight w:val="none"/>
        </w:rPr>
        <w:t>69</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19"/>
        <w:tabs>
          <w:tab w:val="right" w:leader="dot" w:pos="8845"/>
        </w:tabs>
        <w:spacing w:line="600" w:lineRule="auto"/>
        <w:rPr>
          <w:color w:val="auto"/>
          <w:highlight w:val="none"/>
        </w:rPr>
      </w:pPr>
    </w:p>
    <w:p>
      <w:pPr>
        <w:pStyle w:val="27"/>
        <w:tabs>
          <w:tab w:val="right" w:leader="dot" w:pos="9639"/>
          <w:tab w:val="clear" w:pos="9628"/>
        </w:tabs>
        <w:spacing w:line="600" w:lineRule="auto"/>
        <w:rPr>
          <w:rStyle w:val="49"/>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0"/>
          <w:highlight w:val="none"/>
        </w:rPr>
        <w:fldChar w:fldCharType="end"/>
      </w:r>
    </w:p>
    <w:p>
      <w:pPr>
        <w:pStyle w:val="20"/>
        <w:spacing w:line="700" w:lineRule="exact"/>
        <w:rPr>
          <w:rFonts w:hint="eastAsia" w:asciiTheme="minorEastAsia" w:hAnsiTheme="minorEastAsia" w:eastAsiaTheme="minorEastAsia" w:cstheme="minorEastAsia"/>
          <w:color w:val="auto"/>
          <w:highlight w:val="none"/>
        </w:rPr>
      </w:pPr>
    </w:p>
    <w:p>
      <w:pPr>
        <w:pStyle w:val="20"/>
        <w:spacing w:line="700" w:lineRule="exact"/>
        <w:rPr>
          <w:rFonts w:hint="eastAsia" w:asciiTheme="minorEastAsia" w:hAnsiTheme="minorEastAsia" w:eastAsiaTheme="minorEastAsia" w:cstheme="minorEastAsia"/>
          <w:color w:val="auto"/>
          <w:highlight w:val="none"/>
        </w:rPr>
      </w:pPr>
    </w:p>
    <w:p>
      <w:pPr>
        <w:pStyle w:val="20"/>
        <w:spacing w:line="700" w:lineRule="exact"/>
        <w:rPr>
          <w:rFonts w:hint="eastAsia" w:asciiTheme="minorEastAsia" w:hAnsiTheme="minorEastAsia" w:eastAsiaTheme="minorEastAsia" w:cstheme="minorEastAsia"/>
          <w:color w:val="auto"/>
          <w:highlight w:val="none"/>
        </w:rPr>
      </w:pPr>
    </w:p>
    <w:p>
      <w:pPr>
        <w:spacing w:line="16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36"/>
          <w:highlight w:val="none"/>
        </w:rPr>
        <w:br w:type="page"/>
      </w:r>
    </w:p>
    <w:p>
      <w:pPr>
        <w:spacing w:line="400" w:lineRule="exact"/>
        <w:jc w:val="center"/>
        <w:outlineLvl w:val="0"/>
        <w:rPr>
          <w:rFonts w:hint="eastAsia" w:asciiTheme="minorEastAsia" w:hAnsiTheme="minorEastAsia" w:eastAsiaTheme="minorEastAsia" w:cstheme="minorEastAsia"/>
          <w:b/>
          <w:color w:val="auto"/>
          <w:sz w:val="32"/>
          <w:szCs w:val="32"/>
          <w:highlight w:val="none"/>
        </w:rPr>
      </w:pPr>
      <w:bookmarkStart w:id="0" w:name="_Toc9180"/>
      <w:r>
        <w:rPr>
          <w:rFonts w:hint="eastAsia" w:asciiTheme="minorEastAsia" w:hAnsiTheme="minorEastAsia" w:eastAsiaTheme="minorEastAsia" w:cstheme="minorEastAsia"/>
          <w:b/>
          <w:color w:val="auto"/>
          <w:sz w:val="32"/>
          <w:szCs w:val="32"/>
          <w:highlight w:val="none"/>
        </w:rPr>
        <w:t>第一章 磋商邀请</w:t>
      </w:r>
      <w:bookmarkEnd w:id="0"/>
    </w:p>
    <w:p>
      <w:pPr>
        <w:spacing w:line="400" w:lineRule="exact"/>
        <w:jc w:val="center"/>
        <w:outlineLvl w:val="0"/>
        <w:rPr>
          <w:rFonts w:hint="eastAsia" w:asciiTheme="minorEastAsia" w:hAnsiTheme="minorEastAsia" w:eastAsiaTheme="minorEastAsia" w:cstheme="minorEastAsia"/>
          <w:b/>
          <w:color w:val="auto"/>
          <w:sz w:val="28"/>
          <w:szCs w:val="28"/>
          <w:highlight w:val="none"/>
        </w:rPr>
      </w:pPr>
    </w:p>
    <w:p>
      <w:pPr>
        <w:spacing w:line="360" w:lineRule="auto"/>
        <w:jc w:val="center"/>
        <w:outlineLvl w:val="0"/>
        <w:rPr>
          <w:rFonts w:hint="eastAsia" w:asciiTheme="minorEastAsia" w:hAnsiTheme="minorEastAsia" w:eastAsiaTheme="minorEastAsia" w:cstheme="minorEastAsia"/>
          <w:b/>
          <w:color w:val="auto"/>
          <w:sz w:val="28"/>
          <w:szCs w:val="28"/>
          <w:highlight w:val="none"/>
        </w:rPr>
      </w:pPr>
      <w:bookmarkStart w:id="1" w:name="_Toc46761412"/>
      <w:bookmarkStart w:id="2" w:name="_Toc2589"/>
      <w:r>
        <w:rPr>
          <w:rFonts w:hint="eastAsia" w:asciiTheme="minorEastAsia" w:hAnsiTheme="minorEastAsia" w:eastAsiaTheme="minorEastAsia" w:cstheme="minorEastAsia"/>
          <w:b/>
          <w:color w:val="auto"/>
          <w:sz w:val="28"/>
          <w:szCs w:val="28"/>
          <w:highlight w:val="none"/>
          <w:lang w:val="en-US" w:eastAsia="zh-CN"/>
        </w:rPr>
        <w:t>国家税务总局南宁市良庆区税务局2022年视频拍摄制作服务（GXKLC20223084）</w:t>
      </w:r>
      <w:r>
        <w:rPr>
          <w:rFonts w:hint="eastAsia" w:asciiTheme="minorEastAsia" w:hAnsiTheme="minorEastAsia" w:eastAsiaTheme="minorEastAsia" w:cstheme="minorEastAsia"/>
          <w:b/>
          <w:color w:val="auto"/>
          <w:sz w:val="28"/>
          <w:szCs w:val="28"/>
          <w:highlight w:val="none"/>
        </w:rPr>
        <w:t>磋商公告</w:t>
      </w:r>
      <w:bookmarkEnd w:id="1"/>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国家税务总局南宁市良庆区税务局2022年视频拍摄制作服务</w:t>
      </w:r>
      <w:r>
        <w:rPr>
          <w:rFonts w:hint="eastAsia" w:asciiTheme="minorEastAsia" w:hAnsiTheme="minorEastAsia" w:eastAsiaTheme="minorEastAsia" w:cstheme="minorEastAsia"/>
          <w:color w:val="auto"/>
          <w:szCs w:val="21"/>
          <w:highlight w:val="none"/>
        </w:rPr>
        <w:t>的潜在供应商应在南宁市大学东路170号广西科联招标中心有限公司获取采购文件，并于</w:t>
      </w:r>
      <w:r>
        <w:rPr>
          <w:rFonts w:hint="eastAsia" w:asciiTheme="minorEastAsia" w:hAnsiTheme="minorEastAsia" w:eastAsiaTheme="minorEastAsia" w:cstheme="minorEastAsia"/>
          <w:bCs/>
          <w:color w:val="auto"/>
          <w:szCs w:val="21"/>
          <w:highlight w:val="none"/>
          <w:u w:val="single"/>
        </w:rPr>
        <w:t>202</w:t>
      </w:r>
      <w:r>
        <w:rPr>
          <w:rFonts w:hint="eastAsia" w:asciiTheme="minorEastAsia" w:hAnsiTheme="minorEastAsia" w:eastAsiaTheme="minorEastAsia" w:cstheme="minorEastAsia"/>
          <w:bCs/>
          <w:color w:val="auto"/>
          <w:szCs w:val="21"/>
          <w:highlight w:val="none"/>
          <w:u w:val="single"/>
          <w:lang w:val="en-US" w:eastAsia="zh-CN"/>
        </w:rPr>
        <w:t>2</w:t>
      </w:r>
      <w:r>
        <w:rPr>
          <w:rFonts w:hint="eastAsia" w:asciiTheme="minorEastAsia" w:hAnsiTheme="minorEastAsia" w:eastAsiaTheme="minorEastAsia" w:cstheme="minorEastAsia"/>
          <w:bCs/>
          <w:color w:val="auto"/>
          <w:szCs w:val="21"/>
          <w:highlight w:val="none"/>
          <w:u w:val="single"/>
        </w:rPr>
        <w:t>年</w:t>
      </w:r>
      <w:r>
        <w:rPr>
          <w:rFonts w:hint="eastAsia" w:asciiTheme="minorEastAsia" w:hAnsiTheme="minorEastAsia" w:eastAsiaTheme="minorEastAsia" w:cstheme="minorEastAsia"/>
          <w:bCs/>
          <w:color w:val="auto"/>
          <w:szCs w:val="21"/>
          <w:highlight w:val="none"/>
          <w:u w:val="single"/>
          <w:lang w:val="en-US" w:eastAsia="zh-CN"/>
        </w:rPr>
        <w:t>6</w:t>
      </w:r>
      <w:r>
        <w:rPr>
          <w:rFonts w:hint="eastAsia" w:asciiTheme="minorEastAsia" w:hAnsiTheme="minorEastAsia" w:eastAsiaTheme="minorEastAsia" w:cstheme="minorEastAsia"/>
          <w:bCs/>
          <w:color w:val="auto"/>
          <w:szCs w:val="21"/>
          <w:highlight w:val="none"/>
          <w:u w:val="single"/>
        </w:rPr>
        <w:t>月</w:t>
      </w:r>
      <w:r>
        <w:rPr>
          <w:rFonts w:hint="eastAsia" w:asciiTheme="minorEastAsia" w:hAnsiTheme="minorEastAsia" w:eastAsiaTheme="minorEastAsia" w:cstheme="minorEastAsia"/>
          <w:bCs/>
          <w:color w:val="auto"/>
          <w:szCs w:val="21"/>
          <w:highlight w:val="none"/>
          <w:u w:val="single"/>
          <w:lang w:val="en-US" w:eastAsia="zh-CN"/>
        </w:rPr>
        <w:t>16</w:t>
      </w:r>
      <w:r>
        <w:rPr>
          <w:rFonts w:hint="eastAsia" w:asciiTheme="minorEastAsia" w:hAnsiTheme="minorEastAsia" w:eastAsiaTheme="minorEastAsia" w:cstheme="minorEastAsia"/>
          <w:bCs/>
          <w:color w:val="auto"/>
          <w:szCs w:val="21"/>
          <w:highlight w:val="none"/>
          <w:u w:val="single"/>
        </w:rPr>
        <w:t>日</w:t>
      </w:r>
      <w:r>
        <w:rPr>
          <w:rFonts w:hint="eastAsia" w:asciiTheme="minorEastAsia" w:hAnsiTheme="minorEastAsia" w:eastAsiaTheme="minorEastAsia" w:cstheme="minorEastAsia"/>
          <w:bCs/>
          <w:color w:val="auto"/>
          <w:szCs w:val="21"/>
          <w:highlight w:val="none"/>
          <w:u w:val="single"/>
          <w:lang w:eastAsia="zh-CN"/>
        </w:rPr>
        <w:t>上午</w:t>
      </w:r>
      <w:r>
        <w:rPr>
          <w:rFonts w:hint="eastAsia" w:asciiTheme="minorEastAsia" w:hAnsiTheme="minorEastAsia" w:eastAsiaTheme="minorEastAsia" w:cstheme="minorEastAsia"/>
          <w:bCs/>
          <w:color w:val="auto"/>
          <w:szCs w:val="21"/>
          <w:highlight w:val="none"/>
          <w:u w:val="single"/>
          <w:lang w:val="en-US" w:eastAsia="zh-CN"/>
        </w:rPr>
        <w:t>9</w:t>
      </w:r>
      <w:r>
        <w:rPr>
          <w:rFonts w:hint="eastAsia" w:asciiTheme="minorEastAsia" w:hAnsiTheme="minorEastAsia" w:eastAsiaTheme="minorEastAsia" w:cstheme="minorEastAsia"/>
          <w:bCs/>
          <w:color w:val="auto"/>
          <w:szCs w:val="21"/>
          <w:highlight w:val="none"/>
          <w:u w:val="single"/>
        </w:rPr>
        <w:t>点</w:t>
      </w:r>
      <w:r>
        <w:rPr>
          <w:rFonts w:hint="eastAsia" w:asciiTheme="minorEastAsia" w:hAnsiTheme="minorEastAsia" w:eastAsiaTheme="minorEastAsia" w:cstheme="minorEastAsia"/>
          <w:bCs/>
          <w:color w:val="auto"/>
          <w:szCs w:val="21"/>
          <w:highlight w:val="none"/>
          <w:u w:val="single"/>
          <w:lang w:val="en-US" w:eastAsia="zh-CN"/>
        </w:rPr>
        <w:t>3</w:t>
      </w:r>
      <w:r>
        <w:rPr>
          <w:rFonts w:hint="eastAsia" w:asciiTheme="minorEastAsia" w:hAnsiTheme="minorEastAsia" w:eastAsiaTheme="minorEastAsia" w:cstheme="minorEastAsia"/>
          <w:bCs/>
          <w:color w:val="auto"/>
          <w:szCs w:val="21"/>
          <w:highlight w:val="none"/>
          <w:u w:val="single"/>
        </w:rPr>
        <w:t>0分</w:t>
      </w:r>
      <w:r>
        <w:rPr>
          <w:rFonts w:hint="eastAsia" w:asciiTheme="minorEastAsia" w:hAnsiTheme="minorEastAsia" w:eastAsiaTheme="minorEastAsia" w:cstheme="minorEastAsia"/>
          <w:bCs/>
          <w:color w:val="auto"/>
          <w:szCs w:val="21"/>
          <w:highlight w:val="none"/>
        </w:rPr>
        <w:t>（北京时间）前提交响应文件</w:t>
      </w:r>
      <w:r>
        <w:rPr>
          <w:rFonts w:hint="eastAsia" w:asciiTheme="minorEastAsia" w:hAnsiTheme="minorEastAsia" w:eastAsiaTheme="minorEastAsia" w:cstheme="minorEastAsia"/>
          <w:color w:val="auto"/>
          <w:szCs w:val="21"/>
          <w:highlight w:val="none"/>
        </w:rPr>
        <w:t>。</w:t>
      </w:r>
    </w:p>
    <w:p>
      <w:pPr>
        <w:keepNext/>
        <w:keepLines/>
        <w:spacing w:beforeLines="100" w:line="360" w:lineRule="auto"/>
        <w:outlineLvl w:val="1"/>
        <w:rPr>
          <w:rFonts w:hint="eastAsia" w:asciiTheme="minorEastAsia" w:hAnsiTheme="minorEastAsia" w:eastAsiaTheme="minorEastAsia" w:cstheme="minorEastAsia"/>
          <w:bCs/>
          <w:color w:val="auto"/>
          <w:szCs w:val="21"/>
          <w:highlight w:val="none"/>
        </w:rPr>
      </w:pPr>
      <w:bookmarkStart w:id="3" w:name="_Toc28359089"/>
      <w:bookmarkStart w:id="4" w:name="_Toc35393629"/>
      <w:bookmarkStart w:id="5" w:name="_Toc24411"/>
      <w:bookmarkStart w:id="6" w:name="_Toc46761413"/>
      <w:bookmarkStart w:id="7" w:name="_Toc35393798"/>
      <w:bookmarkStart w:id="8" w:name="_Toc28359012"/>
      <w:r>
        <w:rPr>
          <w:rFonts w:hint="eastAsia" w:asciiTheme="minorEastAsia" w:hAnsiTheme="minorEastAsia" w:eastAsiaTheme="minorEastAsia" w:cstheme="minorEastAsia"/>
          <w:bCs/>
          <w:color w:val="auto"/>
          <w:szCs w:val="21"/>
          <w:highlight w:val="none"/>
        </w:rPr>
        <w:t>一、项目基本情况</w:t>
      </w:r>
      <w:bookmarkEnd w:id="3"/>
      <w:bookmarkEnd w:id="4"/>
      <w:bookmarkEnd w:id="5"/>
      <w:bookmarkEnd w:id="6"/>
      <w:bookmarkEnd w:id="7"/>
      <w:bookmarkEnd w:id="8"/>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GXKLC20223084</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国家税务总局南宁市良庆区税务局2022年视频拍摄制作服务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采购方式：磋商</w:t>
      </w:r>
    </w:p>
    <w:p>
      <w:pPr>
        <w:spacing w:line="360" w:lineRule="auto"/>
        <w:ind w:firstLine="420" w:firstLineChars="200"/>
        <w:rPr>
          <w:rFonts w:ascii="宋体" w:hAnsi="宋体" w:cs="宋体"/>
          <w:szCs w:val="21"/>
        </w:rPr>
      </w:pPr>
      <w:r>
        <w:rPr>
          <w:rFonts w:hint="eastAsia" w:ascii="宋体" w:hAnsi="宋体" w:cs="宋体"/>
          <w:szCs w:val="21"/>
        </w:rPr>
        <w:t>预算金额：人民币（大写）伍拾伍万元整（¥5</w:t>
      </w:r>
      <w:r>
        <w:rPr>
          <w:rFonts w:hint="eastAsia" w:ascii="宋体" w:hAnsi="宋体" w:cs="宋体"/>
          <w:szCs w:val="21"/>
          <w:lang w:val="en-US" w:eastAsia="zh-CN"/>
        </w:rPr>
        <w:t>5</w:t>
      </w:r>
      <w:r>
        <w:rPr>
          <w:rFonts w:hint="eastAsia" w:ascii="宋体" w:hAnsi="宋体" w:cs="宋体"/>
          <w:szCs w:val="21"/>
        </w:rPr>
        <w:t>0000.00元）</w:t>
      </w:r>
    </w:p>
    <w:p>
      <w:pPr>
        <w:spacing w:line="360" w:lineRule="auto"/>
        <w:ind w:firstLine="420" w:firstLineChars="200"/>
        <w:rPr>
          <w:rFonts w:ascii="宋体" w:hAnsi="宋体" w:cs="宋体"/>
          <w:szCs w:val="21"/>
        </w:rPr>
      </w:pPr>
      <w:r>
        <w:rPr>
          <w:rFonts w:hint="eastAsia" w:ascii="宋体" w:hAnsi="宋体" w:cs="宋体"/>
          <w:szCs w:val="21"/>
        </w:rPr>
        <w:t>最高限价（如有）：人民币（大写）伍拾伍万元整/年，服务期1年（¥5</w:t>
      </w:r>
      <w:r>
        <w:rPr>
          <w:rFonts w:hint="eastAsia" w:ascii="宋体" w:hAnsi="宋体" w:cs="宋体"/>
          <w:szCs w:val="21"/>
          <w:lang w:val="en-US" w:eastAsia="zh-CN"/>
        </w:rPr>
        <w:t>5</w:t>
      </w:r>
      <w:r>
        <w:rPr>
          <w:rFonts w:hint="eastAsia" w:ascii="宋体" w:hAnsi="宋体" w:cs="宋体"/>
          <w:szCs w:val="21"/>
        </w:rPr>
        <w:t>0000元/年，服务期1年）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采购需求：本项目服务内容为</w:t>
      </w:r>
      <w:r>
        <w:rPr>
          <w:rFonts w:hint="eastAsia" w:asciiTheme="minorEastAsia" w:hAnsiTheme="minorEastAsia" w:eastAsiaTheme="minorEastAsia" w:cstheme="minorEastAsia"/>
          <w:color w:val="auto"/>
          <w:szCs w:val="21"/>
          <w:highlight w:val="none"/>
          <w:lang w:eastAsia="zh-CN"/>
        </w:rPr>
        <w:t>国家税务总局南宁市良庆区税务局2022年视频拍摄制作服务</w:t>
      </w:r>
      <w:r>
        <w:rPr>
          <w:rFonts w:hint="eastAsia" w:asciiTheme="minorEastAsia" w:hAnsiTheme="minorEastAsia" w:eastAsiaTheme="minorEastAsia" w:cstheme="minorEastAsia"/>
          <w:color w:val="auto"/>
          <w:szCs w:val="21"/>
          <w:highlight w:val="none"/>
        </w:rPr>
        <w:t>，选择一名供应商</w:t>
      </w:r>
      <w:r>
        <w:rPr>
          <w:rFonts w:hint="eastAsia" w:asciiTheme="minorEastAsia" w:hAnsiTheme="minorEastAsia" w:eastAsiaTheme="minorEastAsia" w:cstheme="minorEastAsia"/>
          <w:color w:val="auto"/>
          <w:szCs w:val="21"/>
          <w:highlight w:val="none"/>
          <w:lang w:val="en-US" w:eastAsia="zh-CN"/>
        </w:rPr>
        <w:t>负责</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lang w:val="en-US" w:eastAsia="zh-CN"/>
        </w:rPr>
        <w:t>采购人2022年度</w:t>
      </w:r>
      <w:r>
        <w:rPr>
          <w:rFonts w:hint="eastAsia" w:asciiTheme="minorEastAsia" w:hAnsiTheme="minorEastAsia" w:eastAsiaTheme="minorEastAsia" w:cstheme="minorEastAsia"/>
          <w:color w:val="auto"/>
          <w:szCs w:val="21"/>
          <w:highlight w:val="none"/>
          <w:lang w:eastAsia="zh-CN"/>
        </w:rPr>
        <w:t>视频拍摄制作服务</w:t>
      </w:r>
      <w:r>
        <w:rPr>
          <w:rFonts w:hint="eastAsia" w:asciiTheme="minorEastAsia" w:hAnsiTheme="minorEastAsia" w:eastAsiaTheme="minorEastAsia" w:cstheme="minorEastAsia"/>
          <w:color w:val="auto"/>
          <w:szCs w:val="21"/>
          <w:highlight w:val="none"/>
          <w:lang w:val="en-US" w:eastAsia="zh-CN"/>
        </w:rPr>
        <w:t>1项</w:t>
      </w:r>
      <w:r>
        <w:rPr>
          <w:rFonts w:hint="eastAsia" w:asciiTheme="minorEastAsia" w:hAnsiTheme="minorEastAsia" w:eastAsiaTheme="minorEastAsia" w:cstheme="minorEastAsia"/>
          <w:color w:val="auto"/>
          <w:szCs w:val="21"/>
          <w:highlight w:val="none"/>
        </w:rPr>
        <w:t>，详见</w:t>
      </w:r>
      <w:r>
        <w:rPr>
          <w:rFonts w:hint="eastAsia" w:asciiTheme="minorEastAsia" w:hAnsiTheme="minorEastAsia" w:eastAsiaTheme="minorEastAsia" w:cstheme="minorEastAsia"/>
          <w:color w:val="auto"/>
          <w:szCs w:val="21"/>
          <w:highlight w:val="none"/>
          <w:lang w:val="en-US" w:eastAsia="zh-CN"/>
        </w:rPr>
        <w:t>附件项目采购需求</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合同履行期限：自合同签订之日起一年。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本项目（是/否）接受联合体：不接受。</w:t>
      </w:r>
      <w:bookmarkStart w:id="9" w:name="_Toc28359090"/>
      <w:bookmarkStart w:id="10" w:name="_Toc35393799"/>
      <w:bookmarkStart w:id="11" w:name="_Toc28359013"/>
      <w:bookmarkStart w:id="12" w:name="_Toc35393630"/>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二、申请人的资格要求：</w:t>
      </w:r>
      <w:bookmarkEnd w:id="9"/>
      <w:bookmarkEnd w:id="10"/>
      <w:bookmarkEnd w:id="11"/>
      <w:bookmarkEnd w:id="12"/>
      <w:bookmarkStart w:id="13" w:name="_Toc35393800"/>
      <w:bookmarkStart w:id="14" w:name="_Toc35393631"/>
      <w:bookmarkStart w:id="15" w:name="_Toc28359091"/>
      <w:bookmarkStart w:id="16" w:name="_Toc28359014"/>
    </w:p>
    <w:p>
      <w:pPr>
        <w:spacing w:line="360" w:lineRule="auto"/>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eastAsia="宋体"/>
          <w:color w:val="auto"/>
          <w:highlight w:val="none"/>
          <w:lang w:eastAsia="zh-CN"/>
        </w:rPr>
        <w:t>：</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color w:val="auto"/>
          <w:highlight w:val="none"/>
        </w:rPr>
        <w:t>本项目采购标的对应的中小企业划分标准所属行业为</w:t>
      </w:r>
      <w:r>
        <w:rPr>
          <w:rFonts w:hint="eastAsia"/>
          <w:color w:val="auto"/>
          <w:highlight w:val="none"/>
          <w:lang w:eastAsia="zh-CN"/>
        </w:rPr>
        <w:t>商务服务业。</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kern w:val="2"/>
          <w:sz w:val="21"/>
          <w:szCs w:val="21"/>
          <w:highlight w:val="none"/>
          <w:lang w:val="en-US" w:eastAsia="zh-CN" w:bidi="ar-SA"/>
        </w:rPr>
        <w:t>无。</w:t>
      </w:r>
    </w:p>
    <w:p>
      <w:pPr>
        <w:pStyle w:val="2"/>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5.不存在不良信用记录（</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宋体" w:hAnsi="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三、获取采购文件</w:t>
      </w:r>
      <w:bookmarkEnd w:id="13"/>
      <w:bookmarkEnd w:id="14"/>
      <w:bookmarkEnd w:id="15"/>
      <w:bookmarkEnd w:id="16"/>
    </w:p>
    <w:p>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Cs/>
          <w:color w:val="auto"/>
          <w:szCs w:val="21"/>
          <w:highlight w:val="none"/>
          <w:u w:val="single"/>
        </w:rPr>
        <w:t>202</w:t>
      </w:r>
      <w:r>
        <w:rPr>
          <w:rFonts w:hint="eastAsia" w:asciiTheme="minorEastAsia" w:hAnsiTheme="minorEastAsia" w:eastAsiaTheme="minorEastAsia" w:cstheme="minorEastAsia"/>
          <w:bCs/>
          <w:color w:val="auto"/>
          <w:szCs w:val="21"/>
          <w:highlight w:val="none"/>
          <w:u w:val="single"/>
          <w:lang w:val="en-US" w:eastAsia="zh-CN"/>
        </w:rPr>
        <w:t>2</w:t>
      </w:r>
      <w:r>
        <w:rPr>
          <w:rFonts w:hint="eastAsia" w:asciiTheme="minorEastAsia" w:hAnsiTheme="minorEastAsia" w:eastAsiaTheme="minorEastAsia" w:cstheme="minorEastAsia"/>
          <w:bCs/>
          <w:color w:val="auto"/>
          <w:szCs w:val="21"/>
          <w:highlight w:val="none"/>
          <w:u w:val="single"/>
        </w:rPr>
        <w:t>年</w:t>
      </w:r>
      <w:r>
        <w:rPr>
          <w:rFonts w:hint="eastAsia" w:asciiTheme="minorEastAsia" w:hAnsiTheme="minorEastAsia" w:eastAsiaTheme="minorEastAsia" w:cstheme="minorEastAsia"/>
          <w:bCs/>
          <w:color w:val="auto"/>
          <w:szCs w:val="21"/>
          <w:highlight w:val="none"/>
          <w:u w:val="single"/>
          <w:lang w:val="en-US" w:eastAsia="zh-CN"/>
        </w:rPr>
        <w:t>6</w:t>
      </w:r>
      <w:r>
        <w:rPr>
          <w:rFonts w:hint="eastAsia" w:asciiTheme="minorEastAsia" w:hAnsiTheme="minorEastAsia" w:eastAsiaTheme="minorEastAsia" w:cstheme="minorEastAsia"/>
          <w:bCs/>
          <w:color w:val="auto"/>
          <w:szCs w:val="21"/>
          <w:highlight w:val="none"/>
          <w:u w:val="single"/>
        </w:rPr>
        <w:t>月</w:t>
      </w:r>
      <w:r>
        <w:rPr>
          <w:rFonts w:hint="eastAsia" w:asciiTheme="minorEastAsia" w:hAnsiTheme="minorEastAsia" w:eastAsiaTheme="minorEastAsia" w:cstheme="minorEastAsia"/>
          <w:bCs/>
          <w:color w:val="auto"/>
          <w:szCs w:val="21"/>
          <w:highlight w:val="none"/>
          <w:u w:val="single"/>
          <w:lang w:val="en-US" w:eastAsia="zh-CN"/>
        </w:rPr>
        <w:t>13</w:t>
      </w:r>
      <w:r>
        <w:rPr>
          <w:rFonts w:hint="eastAsia" w:asciiTheme="minorEastAsia" w:hAnsiTheme="minorEastAsia" w:eastAsiaTheme="minorEastAsia" w:cstheme="minorEastAsia"/>
          <w:bCs/>
          <w:color w:val="auto"/>
          <w:szCs w:val="21"/>
          <w:highlight w:val="none"/>
          <w:u w:val="single"/>
        </w:rPr>
        <w:t>日</w:t>
      </w:r>
      <w:r>
        <w:rPr>
          <w:rFonts w:hint="eastAsia" w:asciiTheme="minorEastAsia" w:hAnsiTheme="minorEastAsia" w:eastAsiaTheme="minorEastAsia" w:cstheme="minorEastAsia"/>
          <w:color w:val="auto"/>
          <w:szCs w:val="21"/>
          <w:highlight w:val="none"/>
        </w:rPr>
        <w:t>至</w:t>
      </w:r>
      <w:r>
        <w:rPr>
          <w:rFonts w:hint="eastAsia" w:asciiTheme="minorEastAsia" w:hAnsiTheme="minorEastAsia" w:eastAsiaTheme="minorEastAsia" w:cstheme="minorEastAsia"/>
          <w:bCs/>
          <w:color w:val="auto"/>
          <w:szCs w:val="21"/>
          <w:highlight w:val="none"/>
          <w:u w:val="single"/>
        </w:rPr>
        <w:t>202</w:t>
      </w:r>
      <w:r>
        <w:rPr>
          <w:rFonts w:hint="eastAsia" w:asciiTheme="minorEastAsia" w:hAnsiTheme="minorEastAsia" w:eastAsiaTheme="minorEastAsia" w:cstheme="minorEastAsia"/>
          <w:bCs/>
          <w:color w:val="auto"/>
          <w:szCs w:val="21"/>
          <w:highlight w:val="none"/>
          <w:u w:val="single"/>
          <w:lang w:val="en-US" w:eastAsia="zh-CN"/>
        </w:rPr>
        <w:t>2</w:t>
      </w:r>
      <w:r>
        <w:rPr>
          <w:rFonts w:hint="eastAsia" w:asciiTheme="minorEastAsia" w:hAnsiTheme="minorEastAsia" w:eastAsiaTheme="minorEastAsia" w:cstheme="minorEastAsia"/>
          <w:bCs/>
          <w:color w:val="auto"/>
          <w:szCs w:val="21"/>
          <w:highlight w:val="none"/>
          <w:u w:val="single"/>
        </w:rPr>
        <w:t>年</w:t>
      </w:r>
      <w:r>
        <w:rPr>
          <w:rFonts w:hint="eastAsia" w:asciiTheme="minorEastAsia" w:hAnsiTheme="minorEastAsia" w:eastAsiaTheme="minorEastAsia" w:cstheme="minorEastAsia"/>
          <w:bCs/>
          <w:color w:val="auto"/>
          <w:szCs w:val="21"/>
          <w:highlight w:val="none"/>
          <w:u w:val="single"/>
          <w:lang w:val="en-US" w:eastAsia="zh-CN"/>
        </w:rPr>
        <w:t>6</w:t>
      </w:r>
      <w:r>
        <w:rPr>
          <w:rFonts w:hint="eastAsia" w:asciiTheme="minorEastAsia" w:hAnsiTheme="minorEastAsia" w:eastAsiaTheme="minorEastAsia" w:cstheme="minorEastAsia"/>
          <w:bCs/>
          <w:color w:val="auto"/>
          <w:szCs w:val="21"/>
          <w:highlight w:val="none"/>
          <w:u w:val="single"/>
        </w:rPr>
        <w:t>月</w:t>
      </w:r>
      <w:r>
        <w:rPr>
          <w:rFonts w:hint="eastAsia" w:asciiTheme="minorEastAsia" w:hAnsiTheme="minorEastAsia" w:eastAsiaTheme="minorEastAsia" w:cstheme="minorEastAsia"/>
          <w:bCs/>
          <w:color w:val="auto"/>
          <w:szCs w:val="21"/>
          <w:highlight w:val="none"/>
          <w:u w:val="single"/>
          <w:lang w:val="en-US" w:eastAsia="zh-CN"/>
        </w:rPr>
        <w:t>15</w:t>
      </w:r>
      <w:r>
        <w:rPr>
          <w:rFonts w:hint="eastAsia" w:asciiTheme="minorEastAsia" w:hAnsiTheme="minorEastAsia" w:eastAsiaTheme="minorEastAsia" w:cstheme="minorEastAsia"/>
          <w:bCs/>
          <w:color w:val="auto"/>
          <w:szCs w:val="21"/>
          <w:highlight w:val="none"/>
          <w:u w:val="single"/>
        </w:rPr>
        <w:t>日</w:t>
      </w:r>
      <w:r>
        <w:rPr>
          <w:rFonts w:hint="eastAsia" w:asciiTheme="minorEastAsia" w:hAnsiTheme="minorEastAsia" w:eastAsiaTheme="minorEastAsia" w:cstheme="minorEastAsia"/>
          <w:color w:val="auto"/>
          <w:szCs w:val="21"/>
          <w:highlight w:val="none"/>
        </w:rPr>
        <w:t>止，</w:t>
      </w:r>
      <w:r>
        <w:rPr>
          <w:rFonts w:hint="eastAsia" w:asciiTheme="minorEastAsia" w:hAnsiTheme="minorEastAsia" w:eastAsiaTheme="minorEastAsia" w:cstheme="minorEastAsia"/>
          <w:color w:val="auto"/>
          <w:szCs w:val="21"/>
          <w:highlight w:val="none"/>
          <w:lang w:val="en-US" w:eastAsia="zh-CN"/>
        </w:rPr>
        <w:t>每天</w:t>
      </w:r>
      <w:r>
        <w:rPr>
          <w:rFonts w:hint="eastAsia" w:asciiTheme="minorEastAsia" w:hAnsiTheme="minorEastAsia" w:eastAsiaTheme="minorEastAsia" w:cstheme="minorEastAsia"/>
          <w:color w:val="auto"/>
          <w:szCs w:val="21"/>
          <w:highlight w:val="none"/>
        </w:rPr>
        <w:t>上午8时至12时，下午15时至18时（北京时间，法定节假日除外 ）。</w:t>
      </w:r>
    </w:p>
    <w:p>
      <w:pPr>
        <w:spacing w:line="360" w:lineRule="auto"/>
        <w:ind w:firstLine="424" w:firstLineChars="202"/>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地点：广西南宁市大学东路170号（广西农业机械研究院内）广西科联招标中心有限公司。</w:t>
      </w:r>
    </w:p>
    <w:p>
      <w:pPr>
        <w:spacing w:line="360" w:lineRule="auto"/>
        <w:ind w:firstLine="426" w:firstLineChars="20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方式：现场或网上获取</w:t>
      </w:r>
    </w:p>
    <w:p>
      <w:pPr>
        <w:spacing w:line="360" w:lineRule="auto"/>
        <w:ind w:firstLine="426" w:firstLineChars="202"/>
        <w:rPr>
          <w:rFonts w:hint="eastAsia" w:asciiTheme="minorEastAsia" w:hAnsiTheme="minorEastAsia" w:eastAsiaTheme="minorEastAsia" w:cstheme="minorEastAsia"/>
          <w:b/>
          <w:color w:val="auto"/>
          <w:szCs w:val="21"/>
          <w:highlight w:val="none"/>
          <w:u w:val="none"/>
          <w:lang w:eastAsia="zh-CN"/>
        </w:rPr>
      </w:pPr>
      <w:r>
        <w:rPr>
          <w:rFonts w:hint="eastAsia" w:asciiTheme="minorEastAsia" w:hAnsiTheme="minorEastAsia" w:eastAsiaTheme="minorEastAsia" w:cstheme="minorEastAsia"/>
          <w:b/>
          <w:color w:val="auto"/>
          <w:szCs w:val="21"/>
          <w:highlight w:val="none"/>
        </w:rPr>
        <w:t>方式一:</w:t>
      </w:r>
      <w:r>
        <w:rPr>
          <w:rFonts w:hint="eastAsia" w:asciiTheme="minorEastAsia" w:hAnsiTheme="minorEastAsia" w:eastAsiaTheme="minorEastAsia" w:cstheme="minorEastAsia"/>
          <w:b/>
          <w:color w:val="auto"/>
          <w:szCs w:val="21"/>
          <w:highlight w:val="none"/>
          <w:u w:val="none"/>
        </w:rPr>
        <w:t>现场报名获取（供应商无需携带报名资料）</w:t>
      </w:r>
      <w:r>
        <w:rPr>
          <w:rFonts w:hint="eastAsia" w:asciiTheme="minorEastAsia" w:hAnsiTheme="minorEastAsia" w:eastAsiaTheme="minorEastAsia" w:cstheme="minorEastAsia"/>
          <w:b/>
          <w:color w:val="auto"/>
          <w:szCs w:val="21"/>
          <w:highlight w:val="none"/>
          <w:u w:val="none"/>
          <w:lang w:eastAsia="zh-CN"/>
        </w:rPr>
        <w:t>。</w:t>
      </w:r>
    </w:p>
    <w:p>
      <w:pPr>
        <w:spacing w:line="360" w:lineRule="auto"/>
        <w:ind w:firstLine="426"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none"/>
        </w:rPr>
        <w:t>方式二：</w:t>
      </w:r>
      <w:r>
        <w:rPr>
          <w:rFonts w:hint="eastAsia" w:asciiTheme="minorEastAsia" w:hAnsiTheme="minorEastAsia" w:eastAsiaTheme="minorEastAsia" w:cstheme="minorEastAsia"/>
          <w:b/>
          <w:bCs/>
          <w:color w:val="auto"/>
          <w:szCs w:val="21"/>
          <w:highlight w:val="none"/>
        </w:rPr>
        <w:t>网上获取</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color w:val="auto"/>
          <w:szCs w:val="21"/>
          <w:highlight w:val="none"/>
        </w:rPr>
        <w:t>供应商将</w:t>
      </w:r>
      <w:r>
        <w:rPr>
          <w:rFonts w:hint="eastAsia" w:asciiTheme="minorEastAsia" w:hAnsiTheme="minorEastAsia" w:eastAsiaTheme="minorEastAsia" w:cstheme="minorEastAsia"/>
          <w:color w:val="auto"/>
          <w:szCs w:val="21"/>
          <w:highlight w:val="none"/>
          <w:u w:val="single"/>
        </w:rPr>
        <w:t>项目名称、项目编号、</w:t>
      </w:r>
      <w:r>
        <w:rPr>
          <w:rFonts w:hint="eastAsia" w:asciiTheme="minorEastAsia" w:hAnsiTheme="minorEastAsia" w:eastAsiaTheme="minorEastAsia" w:cstheme="minorEastAsia"/>
          <w:color w:val="auto"/>
          <w:szCs w:val="21"/>
          <w:highlight w:val="none"/>
          <w:u w:val="single"/>
          <w:lang w:val="en-US" w:eastAsia="zh-CN"/>
        </w:rPr>
        <w:t>供应商名称、</w:t>
      </w:r>
      <w:r>
        <w:rPr>
          <w:rFonts w:hint="eastAsia" w:asciiTheme="minorEastAsia" w:hAnsiTheme="minorEastAsia" w:eastAsiaTheme="minorEastAsia" w:cstheme="minorEastAsia"/>
          <w:color w:val="auto"/>
          <w:szCs w:val="21"/>
          <w:highlight w:val="none"/>
          <w:u w:val="single"/>
        </w:rPr>
        <w:t>收件人姓名、联系电话、收件地址、开票信息</w:t>
      </w:r>
      <w:r>
        <w:rPr>
          <w:rFonts w:hint="eastAsia" w:asciiTheme="minorEastAsia" w:hAnsiTheme="minorEastAsia" w:eastAsiaTheme="minorEastAsia" w:cstheme="minorEastAsia"/>
          <w:color w:val="auto"/>
          <w:szCs w:val="21"/>
          <w:highlight w:val="none"/>
        </w:rPr>
        <w:t>在获取采购文件的时间内发送至指定邮箱：</w:t>
      </w:r>
      <w:r>
        <w:rPr>
          <w:rFonts w:hint="eastAsia" w:ascii="宋体" w:hAnsi="宋体" w:cs="宋体"/>
          <w:color w:val="auto"/>
          <w:szCs w:val="21"/>
          <w:highlight w:val="none"/>
        </w:rPr>
        <w:t>188264094@qq.com（联系电话：</w:t>
      </w:r>
      <w:r>
        <w:rPr>
          <w:rFonts w:hint="eastAsia" w:ascii="宋体" w:hAnsi="宋体" w:cs="宋体"/>
          <w:color w:val="auto"/>
          <w:szCs w:val="21"/>
          <w:highlight w:val="none"/>
          <w:lang w:val="en-US" w:eastAsia="zh-CN"/>
        </w:rPr>
        <w:t>李艳，</w:t>
      </w:r>
      <w:r>
        <w:rPr>
          <w:rFonts w:hint="eastAsia" w:ascii="宋体" w:hAnsi="宋体" w:cs="宋体"/>
          <w:color w:val="auto"/>
          <w:szCs w:val="21"/>
          <w:highlight w:val="none"/>
        </w:rPr>
        <w:t>0771-2273368）</w:t>
      </w:r>
      <w:r>
        <w:rPr>
          <w:rFonts w:hint="eastAsia" w:asciiTheme="minorEastAsia" w:hAnsiTheme="minorEastAsia" w:eastAsiaTheme="minorEastAsia" w:cstheme="minorEastAsia"/>
          <w:color w:val="auto"/>
          <w:szCs w:val="21"/>
          <w:highlight w:val="none"/>
        </w:rPr>
        <w:t>。供应商报名成功后，采购代理机构将采购文件的电子版发送至</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报名时的电子邮箱。未按本公告要求提供有效收件人联系方式的，不予办理纸质版采购文件的邮寄手续；因此造成供应商无法按时获取纸质版采购文件的，责任由供应商承担。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售价：采购文件工本费每本250元，售后不退。</w:t>
      </w:r>
      <w:r>
        <w:rPr>
          <w:rFonts w:hint="eastAsia" w:asciiTheme="minorEastAsia" w:hAnsiTheme="minorEastAsia" w:eastAsiaTheme="minorEastAsia" w:cstheme="minorEastAsia"/>
          <w:color w:val="auto"/>
          <w:szCs w:val="21"/>
          <w:highlight w:val="none"/>
          <w:u w:val="single"/>
        </w:rPr>
        <w:t>如需邮寄采购文件纸质版，每本另加邮费50元</w:t>
      </w:r>
      <w:r>
        <w:rPr>
          <w:rFonts w:hint="eastAsia" w:asciiTheme="minorEastAsia" w:hAnsiTheme="minorEastAsia" w:eastAsiaTheme="minorEastAsia" w:cstheme="minorEastAsia"/>
          <w:color w:val="auto"/>
          <w:szCs w:val="21"/>
          <w:highlight w:val="none"/>
          <w:u w:val="single"/>
          <w:lang w:eastAsia="zh-CN"/>
        </w:rPr>
        <w:t>。</w:t>
      </w:r>
    </w:p>
    <w:p>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【注：供应商须于采购文件发售截止时间将工本费、邮费（如需邮寄）汇到广西科联招标中心有限公司指定账户，汇款、转账时请备注项目名称或项目编号信息】。</w:t>
      </w:r>
    </w:p>
    <w:p>
      <w:pPr>
        <w:spacing w:line="360" w:lineRule="auto"/>
        <w:rPr>
          <w:rFonts w:hint="eastAsia" w:asciiTheme="minorEastAsia" w:hAnsiTheme="minorEastAsia" w:eastAsiaTheme="minorEastAsia" w:cstheme="minorEastAsia"/>
          <w:color w:val="auto"/>
          <w:szCs w:val="21"/>
          <w:highlight w:val="none"/>
        </w:rPr>
      </w:pPr>
      <w:bookmarkStart w:id="17" w:name="_Toc35393801"/>
      <w:bookmarkStart w:id="18" w:name="_Toc35393632"/>
      <w:bookmarkStart w:id="19" w:name="_Toc28359092"/>
      <w:bookmarkStart w:id="20" w:name="_Toc28359015"/>
      <w:r>
        <w:rPr>
          <w:rFonts w:hint="eastAsia" w:asciiTheme="minorEastAsia" w:hAnsiTheme="minorEastAsia" w:eastAsiaTheme="minorEastAsia" w:cstheme="minorEastAsia"/>
          <w:bCs/>
          <w:color w:val="auto"/>
          <w:szCs w:val="21"/>
          <w:highlight w:val="none"/>
        </w:rPr>
        <w:t>四、响应文件提交</w:t>
      </w:r>
      <w:bookmarkEnd w:id="17"/>
      <w:bookmarkEnd w:id="18"/>
      <w:bookmarkEnd w:id="19"/>
      <w:bookmarkEnd w:id="20"/>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bCs/>
          <w:color w:val="auto"/>
          <w:szCs w:val="21"/>
          <w:highlight w:val="none"/>
          <w:u w:val="single"/>
          <w:lang w:eastAsia="zh-CN"/>
        </w:rPr>
        <w:t>2022年6月16日上午</w:t>
      </w:r>
      <w:r>
        <w:rPr>
          <w:rFonts w:hint="eastAsia" w:asciiTheme="minorEastAsia" w:hAnsiTheme="minorEastAsia" w:eastAsiaTheme="minorEastAsia" w:cstheme="minorEastAsia"/>
          <w:bCs/>
          <w:color w:val="auto"/>
          <w:szCs w:val="21"/>
          <w:highlight w:val="none"/>
          <w:u w:val="single"/>
          <w:lang w:val="en-US" w:eastAsia="zh-CN"/>
        </w:rPr>
        <w:t>9</w:t>
      </w:r>
      <w:r>
        <w:rPr>
          <w:rFonts w:hint="eastAsia" w:asciiTheme="minorEastAsia" w:hAnsiTheme="minorEastAsia" w:eastAsiaTheme="minorEastAsia" w:cstheme="minorEastAsia"/>
          <w:bCs/>
          <w:color w:val="auto"/>
          <w:szCs w:val="21"/>
          <w:highlight w:val="none"/>
          <w:u w:val="single"/>
        </w:rPr>
        <w:t>点</w:t>
      </w:r>
      <w:r>
        <w:rPr>
          <w:rFonts w:hint="eastAsia" w:asciiTheme="minorEastAsia" w:hAnsiTheme="minorEastAsia" w:eastAsiaTheme="minorEastAsia" w:cstheme="minorEastAsia"/>
          <w:bCs/>
          <w:color w:val="auto"/>
          <w:szCs w:val="21"/>
          <w:highlight w:val="none"/>
          <w:u w:val="single"/>
          <w:lang w:val="en-US" w:eastAsia="zh-CN"/>
        </w:rPr>
        <w:t>3</w:t>
      </w:r>
      <w:r>
        <w:rPr>
          <w:rFonts w:hint="eastAsia" w:asciiTheme="minorEastAsia" w:hAnsiTheme="minorEastAsia" w:eastAsiaTheme="minorEastAsia" w:cstheme="minorEastAsia"/>
          <w:bCs/>
          <w:color w:val="auto"/>
          <w:szCs w:val="21"/>
          <w:highlight w:val="none"/>
          <w:u w:val="single"/>
        </w:rPr>
        <w:t>0分</w:t>
      </w:r>
      <w:r>
        <w:rPr>
          <w:rFonts w:hint="eastAsia" w:asciiTheme="minorEastAsia" w:hAnsiTheme="minorEastAsia" w:eastAsiaTheme="minorEastAsia" w:cstheme="minorEastAsia"/>
          <w:bCs/>
          <w:color w:val="auto"/>
          <w:szCs w:val="21"/>
          <w:highlight w:val="none"/>
        </w:rPr>
        <w:t>（北京时间）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地点：广西南宁大学东路170号广西科联招标中心有限公司一楼会议大厅，逾期送达的将予以拒收。</w:t>
      </w:r>
      <w:bookmarkStart w:id="21" w:name="_Toc28359093"/>
      <w:bookmarkStart w:id="22" w:name="_Toc35393633"/>
      <w:bookmarkStart w:id="23" w:name="_Toc35393802"/>
      <w:bookmarkStart w:id="24" w:name="_Toc28359016"/>
    </w:p>
    <w:p>
      <w:pPr>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五、开启</w:t>
      </w:r>
      <w:bookmarkEnd w:id="21"/>
      <w:bookmarkEnd w:id="22"/>
      <w:bookmarkEnd w:id="23"/>
      <w:bookmarkEnd w:id="24"/>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Cs/>
          <w:color w:val="auto"/>
          <w:szCs w:val="21"/>
          <w:highlight w:val="none"/>
          <w:u w:val="single"/>
          <w:lang w:eastAsia="zh-CN"/>
        </w:rPr>
        <w:t>2022年6月16日上午</w:t>
      </w:r>
      <w:r>
        <w:rPr>
          <w:rFonts w:hint="eastAsia" w:asciiTheme="minorEastAsia" w:hAnsiTheme="minorEastAsia" w:eastAsiaTheme="minorEastAsia" w:cstheme="minorEastAsia"/>
          <w:bCs/>
          <w:color w:val="auto"/>
          <w:szCs w:val="21"/>
          <w:highlight w:val="none"/>
          <w:u w:val="single"/>
          <w:lang w:val="en-US" w:eastAsia="zh-CN"/>
        </w:rPr>
        <w:t>9</w:t>
      </w:r>
      <w:r>
        <w:rPr>
          <w:rFonts w:hint="eastAsia" w:asciiTheme="minorEastAsia" w:hAnsiTheme="minorEastAsia" w:eastAsiaTheme="minorEastAsia" w:cstheme="minorEastAsia"/>
          <w:bCs/>
          <w:color w:val="auto"/>
          <w:szCs w:val="21"/>
          <w:highlight w:val="none"/>
          <w:u w:val="single"/>
        </w:rPr>
        <w:t>点</w:t>
      </w:r>
      <w:r>
        <w:rPr>
          <w:rFonts w:hint="eastAsia" w:asciiTheme="minorEastAsia" w:hAnsiTheme="minorEastAsia" w:eastAsiaTheme="minorEastAsia" w:cstheme="minorEastAsia"/>
          <w:bCs/>
          <w:color w:val="auto"/>
          <w:szCs w:val="21"/>
          <w:highlight w:val="none"/>
          <w:u w:val="single"/>
          <w:lang w:val="en-US" w:eastAsia="zh-CN"/>
        </w:rPr>
        <w:t>3</w:t>
      </w:r>
      <w:r>
        <w:rPr>
          <w:rFonts w:hint="eastAsia" w:asciiTheme="minorEastAsia" w:hAnsiTheme="minorEastAsia" w:eastAsiaTheme="minorEastAsia" w:cstheme="minorEastAsia"/>
          <w:bCs/>
          <w:color w:val="auto"/>
          <w:szCs w:val="21"/>
          <w:highlight w:val="none"/>
          <w:u w:val="single"/>
        </w:rPr>
        <w:t>0分</w:t>
      </w:r>
      <w:r>
        <w:rPr>
          <w:rFonts w:hint="eastAsia" w:asciiTheme="minorEastAsia" w:hAnsiTheme="minorEastAsia" w:eastAsiaTheme="minorEastAsia" w:cstheme="minorEastAsia"/>
          <w:bCs/>
          <w:color w:val="auto"/>
          <w:szCs w:val="21"/>
          <w:highlight w:val="none"/>
          <w:u w:val="none"/>
          <w:lang w:eastAsia="zh-CN"/>
        </w:rPr>
        <w:t>后</w:t>
      </w:r>
      <w:r>
        <w:rPr>
          <w:rFonts w:hint="eastAsia" w:asciiTheme="minorEastAsia" w:hAnsiTheme="minorEastAsia" w:eastAsiaTheme="minorEastAsia" w:cstheme="minorEastAsia"/>
          <w:bCs/>
          <w:color w:val="auto"/>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地点：广西科联招标中心有限公司会议室</w:t>
      </w:r>
      <w:bookmarkStart w:id="25" w:name="_Toc28359094"/>
      <w:bookmarkStart w:id="26" w:name="_Toc35393634"/>
      <w:bookmarkStart w:id="27" w:name="_Toc28359017"/>
      <w:bookmarkStart w:id="28" w:name="_Toc35393803"/>
    </w:p>
    <w:p>
      <w:pPr>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六、公告期限</w:t>
      </w:r>
      <w:bookmarkEnd w:id="25"/>
      <w:bookmarkEnd w:id="26"/>
      <w:bookmarkEnd w:id="27"/>
      <w:bookmarkEnd w:id="28"/>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bookmarkStart w:id="29" w:name="_Toc35393635"/>
      <w:bookmarkStart w:id="30" w:name="_Toc35393804"/>
    </w:p>
    <w:p>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七、其他补充事宜</w:t>
      </w:r>
      <w:bookmarkEnd w:id="29"/>
      <w:bookmarkEnd w:id="30"/>
      <w:r>
        <w:rPr>
          <w:rFonts w:hint="eastAsia" w:asciiTheme="minorEastAsia" w:hAnsiTheme="minorEastAsia" w:eastAsiaTheme="minorEastAsia" w:cstheme="minorEastAsia"/>
          <w:bCs/>
          <w:color w:val="auto"/>
          <w:szCs w:val="21"/>
          <w:highlight w:val="none"/>
        </w:rPr>
        <w:t>：</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1.磋商保证金：金额为人民币</w:t>
      </w:r>
      <w:r>
        <w:rPr>
          <w:rFonts w:hint="eastAsia" w:asciiTheme="minorEastAsia" w:hAnsiTheme="minorEastAsia" w:eastAsiaTheme="minorEastAsia" w:cstheme="minorEastAsia"/>
          <w:b/>
          <w:color w:val="auto"/>
          <w:szCs w:val="21"/>
          <w:highlight w:val="none"/>
          <w:lang w:val="en-US" w:eastAsia="zh-CN"/>
        </w:rPr>
        <w:t>9000.</w:t>
      </w:r>
      <w:r>
        <w:rPr>
          <w:rFonts w:hint="eastAsia" w:asciiTheme="minorEastAsia" w:hAnsiTheme="minorEastAsia" w:eastAsiaTheme="minorEastAsia" w:cstheme="minorEastAsia"/>
          <w:b/>
          <w:color w:val="auto"/>
          <w:szCs w:val="21"/>
          <w:highlight w:val="none"/>
        </w:rPr>
        <w:t>00元。</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供应商必须于响应文件递交截止时间前以转账、支票、汇票、本票或者金融机构、担保机构出具的保函等非现金形式提交。</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2.磋商保证金交纳的指定账号：</w:t>
      </w:r>
    </w:p>
    <w:p>
      <w:pPr>
        <w:pStyle w:val="19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开户银行：招商银行南宁市双拥路支行</w:t>
      </w:r>
    </w:p>
    <w:p>
      <w:pPr>
        <w:pStyle w:val="19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开户名称：广西科联招标中心有限公司 </w:t>
      </w:r>
    </w:p>
    <w:p>
      <w:pPr>
        <w:pStyle w:val="190"/>
        <w:shd w:val="clear"/>
        <w:spacing w:line="392" w:lineRule="exact"/>
        <w:ind w:left="495" w:firstLine="0" w:firstLineChars="0"/>
        <w:rPr>
          <w:rFonts w:hint="eastAsia" w:ascii="宋体" w:hAnsi="宋体" w:cs="宋体" w:eastAsiaTheme="minorEastAsia"/>
          <w:color w:val="auto"/>
          <w:kern w:val="0"/>
          <w:szCs w:val="21"/>
          <w:highlight w:val="none"/>
          <w:shd w:val="clear" w:color="auto" w:fill="auto"/>
          <w:lang w:eastAsia="zh-CN"/>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lang w:eastAsia="zh-CN"/>
        </w:rPr>
        <w:t>7719011969103333000003659</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 购买采购文件的价款及邮费交纳的指定账户：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开户名称：广西科联招标中心有限公司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银行账号：2102111229300032105</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开户行：中国工商银行南宁高新科技支行</w:t>
      </w:r>
    </w:p>
    <w:p>
      <w:pPr>
        <w:numPr>
          <w:ilvl w:val="0"/>
          <w:numId w:val="0"/>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磋商时间及地点：于</w:t>
      </w:r>
      <w:r>
        <w:rPr>
          <w:rFonts w:hint="eastAsia" w:asciiTheme="minorEastAsia" w:hAnsiTheme="minorEastAsia" w:eastAsiaTheme="minorEastAsia" w:cstheme="minorEastAsia"/>
          <w:bCs/>
          <w:color w:val="auto"/>
          <w:szCs w:val="21"/>
          <w:highlight w:val="none"/>
          <w:u w:val="single"/>
          <w:lang w:eastAsia="zh-CN"/>
        </w:rPr>
        <w:t>2022年6月16日上午9点30分</w:t>
      </w:r>
      <w:r>
        <w:rPr>
          <w:rFonts w:hint="eastAsia" w:asciiTheme="minorEastAsia" w:hAnsiTheme="minorEastAsia" w:eastAsiaTheme="minorEastAsia" w:cstheme="minorEastAsia"/>
          <w:color w:val="auto"/>
          <w:szCs w:val="21"/>
          <w:highlight w:val="none"/>
        </w:rPr>
        <w:t>截</w:t>
      </w:r>
      <w:r>
        <w:rPr>
          <w:rFonts w:hint="eastAsia" w:asciiTheme="minorEastAsia" w:hAnsiTheme="minorEastAsia" w:eastAsiaTheme="minorEastAsia" w:cstheme="minorEastAsia"/>
          <w:color w:val="auto"/>
          <w:szCs w:val="21"/>
          <w:highlight w:val="none"/>
          <w:lang w:val="en-US" w:eastAsia="zh-CN"/>
        </w:rPr>
        <w:t>止</w:t>
      </w:r>
      <w:r>
        <w:rPr>
          <w:rFonts w:hint="eastAsia" w:asciiTheme="minorEastAsia" w:hAnsiTheme="minorEastAsia" w:eastAsiaTheme="minorEastAsia" w:cstheme="minorEastAsia"/>
          <w:color w:val="auto"/>
          <w:szCs w:val="21"/>
          <w:highlight w:val="none"/>
        </w:rPr>
        <w:t>后为磋商小组与供应商磋商时间，具体时间由采购代理机构另行通知。地点：广西科联招标中心有限公司会议室（以具体通知为准），参加磋商的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或委托代理人必须持证件（</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凭资格证书和身份证或委托代理人凭法人授权委托书原件或复印件和身份证原件）依时到达指定地点等候当面磋商。</w:t>
      </w:r>
      <w:r>
        <w:rPr>
          <w:rFonts w:hint="eastAsia" w:asciiTheme="minorEastAsia" w:hAnsiTheme="minorEastAsia" w:eastAsiaTheme="minorEastAsia" w:cstheme="minorEastAsia"/>
          <w:b/>
          <w:bCs/>
          <w:color w:val="auto"/>
          <w:szCs w:val="21"/>
          <w:highlight w:val="none"/>
        </w:rPr>
        <w:t>疫情防控期间，出席的供应商代表须注意佩戴口罩，服从工作人员安排。</w:t>
      </w:r>
    </w:p>
    <w:p>
      <w:pPr>
        <w:numPr>
          <w:ilvl w:val="0"/>
          <w:numId w:val="0"/>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公告媒体：国家税务总局广西壮族自治区税务局南宁频道(nttp://guangxi. chinatax. gov. cn/nanning/)、广西科联招标中心有限公司网站（www.gxkl.com）。</w:t>
      </w:r>
    </w:p>
    <w:p>
      <w:pPr>
        <w:numPr>
          <w:ilvl w:val="0"/>
          <w:numId w:val="0"/>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本项目为目录外标准下项目。</w:t>
      </w:r>
    </w:p>
    <w:p>
      <w:pPr>
        <w:keepNext/>
        <w:keepLines/>
        <w:spacing w:line="360" w:lineRule="auto"/>
        <w:outlineLvl w:val="1"/>
        <w:rPr>
          <w:rFonts w:hint="eastAsia" w:asciiTheme="minorEastAsia" w:hAnsiTheme="minorEastAsia" w:eastAsiaTheme="minorEastAsia" w:cstheme="minorEastAsia"/>
          <w:bCs/>
          <w:color w:val="auto"/>
          <w:szCs w:val="21"/>
          <w:highlight w:val="none"/>
        </w:rPr>
      </w:pPr>
      <w:bookmarkStart w:id="31" w:name="_Toc46761414"/>
      <w:bookmarkStart w:id="32" w:name="_Toc35393805"/>
      <w:bookmarkStart w:id="33" w:name="_Toc35393636"/>
      <w:bookmarkStart w:id="34" w:name="_Toc28359095"/>
      <w:bookmarkStart w:id="35" w:name="_Toc28359018"/>
      <w:bookmarkStart w:id="36" w:name="_Toc13006"/>
      <w:r>
        <w:rPr>
          <w:rFonts w:hint="eastAsia" w:asciiTheme="minorEastAsia" w:hAnsiTheme="minorEastAsia" w:eastAsiaTheme="minorEastAsia" w:cstheme="minorEastAsia"/>
          <w:bCs/>
          <w:color w:val="auto"/>
          <w:szCs w:val="21"/>
          <w:highlight w:val="none"/>
        </w:rPr>
        <w:t>八、凡对本次采购提出询问，请按以下方式联系。</w:t>
      </w:r>
      <w:bookmarkEnd w:id="31"/>
      <w:bookmarkEnd w:id="32"/>
      <w:bookmarkEnd w:id="33"/>
      <w:bookmarkEnd w:id="34"/>
      <w:bookmarkEnd w:id="35"/>
      <w:bookmarkEnd w:id="36"/>
    </w:p>
    <w:p>
      <w:pPr>
        <w:spacing w:line="360" w:lineRule="auto"/>
        <w:ind w:left="0" w:lef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称：国家税务总局南宁市良庆区税务局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eastAsia="zh-CN"/>
        </w:rPr>
        <w:t>南宁市良庆区玉洞大道33号南宁市民中心</w:t>
      </w: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联系方式：曾祥宁，0771-4509980</w:t>
      </w:r>
    </w:p>
    <w:p>
      <w:pPr>
        <w:spacing w:line="360" w:lineRule="auto"/>
        <w:ind w:left="0" w:lef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称：广西科联招标中心有限公司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址：南宁市大学东路170号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联系方式：陈林，0771-2203960</w:t>
      </w:r>
    </w:p>
    <w:p>
      <w:pPr>
        <w:spacing w:line="360" w:lineRule="auto"/>
        <w:ind w:left="0" w:lef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项目联系人：陈林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话：0771-2203960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购买采购文件电话：0771-2273368        联系人：李艳、刘鑫莹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保证金退付联系电话：0771-2203986       联系人：贺丹华、黄缨然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    编：530007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址：南宁市大学东路170号   </w:t>
      </w:r>
      <w:bookmarkStart w:id="47" w:name="_GoBack"/>
      <w:bookmarkEnd w:id="47"/>
    </w:p>
    <w:p>
      <w:pPr>
        <w:pStyle w:val="2"/>
        <w:rPr>
          <w:rFonts w:hint="eastAsia" w:asciiTheme="minorEastAsia" w:hAnsiTheme="minorEastAsia" w:eastAsiaTheme="minorEastAsia" w:cstheme="minorEastAsia"/>
          <w:color w:val="auto"/>
          <w:szCs w:val="21"/>
          <w:highlight w:val="none"/>
        </w:rPr>
      </w:pPr>
    </w:p>
    <w:p>
      <w:pPr>
        <w:pStyle w:val="2"/>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附件：项目采购需求</w:t>
      </w:r>
    </w:p>
    <w:p>
      <w:pPr>
        <w:pStyle w:val="3"/>
        <w:rPr>
          <w:rFonts w:hint="eastAsia"/>
          <w:color w:val="auto"/>
          <w:highlight w:val="none"/>
        </w:rPr>
      </w:pPr>
    </w:p>
    <w:p>
      <w:pPr>
        <w:snapToGrid w:val="0"/>
        <w:spacing w:line="360" w:lineRule="auto"/>
        <w:ind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采购代理机构：广西科联招标中心有限公司</w:t>
      </w:r>
    </w:p>
    <w:p>
      <w:pPr>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13</w:t>
      </w:r>
      <w:r>
        <w:rPr>
          <w:rFonts w:hint="eastAsia" w:asciiTheme="minorEastAsia" w:hAnsiTheme="minorEastAsia" w:eastAsiaTheme="minorEastAsia" w:cstheme="minorEastAsia"/>
          <w:color w:val="auto"/>
          <w:szCs w:val="21"/>
          <w:highlight w:val="none"/>
        </w:rPr>
        <w:t>日</w:t>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37" w:name="_Toc31183"/>
      <w:r>
        <w:rPr>
          <w:rFonts w:hint="eastAsia" w:asciiTheme="minorEastAsia" w:hAnsiTheme="minorEastAsia" w:eastAsiaTheme="minorEastAsia" w:cstheme="minorEastAsia"/>
          <w:b/>
          <w:color w:val="auto"/>
          <w:sz w:val="32"/>
          <w:szCs w:val="32"/>
          <w:highlight w:val="none"/>
        </w:rPr>
        <w:t>第二章 磋商须知</w:t>
      </w:r>
      <w:bookmarkEnd w:id="37"/>
    </w:p>
    <w:p>
      <w:pPr>
        <w:keepNext/>
        <w:keepLines/>
        <w:spacing w:before="340" w:after="330" w:line="578" w:lineRule="auto"/>
        <w:jc w:val="center"/>
        <w:outlineLvl w:val="0"/>
        <w:rPr>
          <w:rFonts w:hint="eastAsia" w:asciiTheme="minorEastAsia" w:hAnsiTheme="minorEastAsia" w:eastAsiaTheme="minorEastAsia" w:cstheme="minorEastAsia"/>
          <w:b/>
          <w:bCs w:val="0"/>
          <w:color w:val="auto"/>
          <w:kern w:val="44"/>
          <w:sz w:val="28"/>
          <w:szCs w:val="28"/>
          <w:highlight w:val="none"/>
        </w:rPr>
      </w:pPr>
      <w:bookmarkStart w:id="38" w:name="_Toc46761420"/>
      <w:bookmarkStart w:id="39" w:name="_Toc1828"/>
      <w:bookmarkStart w:id="40" w:name="_Toc3570431"/>
      <w:r>
        <w:rPr>
          <w:rFonts w:hint="eastAsia" w:asciiTheme="minorEastAsia" w:hAnsiTheme="minorEastAsia" w:eastAsiaTheme="minorEastAsia" w:cstheme="minorEastAsia"/>
          <w:b/>
          <w:bCs w:val="0"/>
          <w:color w:val="auto"/>
          <w:kern w:val="44"/>
          <w:sz w:val="28"/>
          <w:szCs w:val="28"/>
          <w:highlight w:val="none"/>
        </w:rPr>
        <w:t>磋商须知前附表</w:t>
      </w:r>
      <w:bookmarkEnd w:id="38"/>
      <w:bookmarkEnd w:id="39"/>
    </w:p>
    <w:tbl>
      <w:tblPr>
        <w:tblStyle w:val="4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73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采购项目</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项目名称：</w:t>
            </w:r>
            <w:r>
              <w:rPr>
                <w:rFonts w:hint="eastAsia" w:asciiTheme="minorEastAsia" w:hAnsiTheme="minorEastAsia" w:eastAsiaTheme="minorEastAsia" w:cstheme="minorEastAsia"/>
                <w:color w:val="auto"/>
                <w:kern w:val="0"/>
                <w:szCs w:val="21"/>
                <w:highlight w:val="none"/>
                <w:lang w:eastAsia="zh-CN"/>
              </w:rPr>
              <w:t>国家税务总局南宁市良庆区税务局2022年视频拍摄制作服务</w:t>
            </w: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项目编号：</w:t>
            </w:r>
            <w:r>
              <w:rPr>
                <w:rFonts w:hint="eastAsia" w:asciiTheme="minorEastAsia" w:hAnsiTheme="minorEastAsia" w:eastAsiaTheme="minorEastAsia" w:cstheme="minorEastAsia"/>
                <w:color w:val="auto"/>
                <w:kern w:val="0"/>
                <w:szCs w:val="21"/>
                <w:highlight w:val="none"/>
                <w:lang w:eastAsia="zh-CN"/>
              </w:rPr>
              <w:t>GXKLC20223084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采购预算</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人民币（大写）</w:t>
            </w:r>
            <w:r>
              <w:rPr>
                <w:rFonts w:hint="eastAsia" w:ascii="宋体" w:hAnsi="宋体" w:cs="宋体"/>
                <w:szCs w:val="21"/>
              </w:rPr>
              <w:t>伍拾伍万元整（¥5</w:t>
            </w:r>
            <w:r>
              <w:rPr>
                <w:rFonts w:hint="eastAsia" w:ascii="宋体" w:hAnsi="宋体" w:cs="宋体"/>
                <w:szCs w:val="21"/>
                <w:lang w:val="en-US" w:eastAsia="zh-CN"/>
              </w:rPr>
              <w:t>5</w:t>
            </w:r>
            <w:r>
              <w:rPr>
                <w:rFonts w:hint="eastAsia" w:ascii="宋体" w:hAnsi="宋体" w:cs="宋体"/>
                <w:szCs w:val="21"/>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本项目设定的最高限价</w:t>
            </w:r>
          </w:p>
        </w:tc>
        <w:tc>
          <w:tcPr>
            <w:tcW w:w="6057" w:type="dxa"/>
            <w:gridSpan w:val="2"/>
          </w:tcPr>
          <w:p>
            <w:pPr>
              <w:keepNext w:val="0"/>
              <w:keepLines w:val="0"/>
              <w:pageBreakBefore w:val="0"/>
              <w:widowControl w:val="0"/>
              <w:kinsoku/>
              <w:wordWrap/>
              <w:overflowPunct/>
              <w:topLinePunct w:val="0"/>
              <w:bidi w:val="0"/>
              <w:adjustRightInd/>
              <w:spacing w:after="60"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□无</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有，金额：人民币（大写）</w:t>
            </w:r>
            <w:r>
              <w:rPr>
                <w:rFonts w:hint="eastAsia" w:ascii="宋体" w:hAnsi="宋体" w:cs="宋体"/>
                <w:szCs w:val="21"/>
              </w:rPr>
              <w:t>伍拾伍万元整（¥5</w:t>
            </w:r>
            <w:r>
              <w:rPr>
                <w:rFonts w:hint="eastAsia" w:ascii="宋体" w:hAnsi="宋体" w:cs="宋体"/>
                <w:szCs w:val="21"/>
                <w:lang w:val="en-US" w:eastAsia="zh-CN"/>
              </w:rPr>
              <w:t>5</w:t>
            </w:r>
            <w:r>
              <w:rPr>
                <w:rFonts w:hint="eastAsia" w:ascii="宋体" w:hAnsi="宋体" w:cs="宋体"/>
                <w:szCs w:val="21"/>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核心产品</w:t>
            </w:r>
            <w:r>
              <w:rPr>
                <w:rFonts w:hint="eastAsia" w:ascii="Times New Roman" w:hAnsi="Times New Roman" w:cs="Times New Roman"/>
                <w:color w:val="auto"/>
                <w:highlight w:val="none"/>
              </w:rPr>
              <w:t>（非单一产品项目，必填）</w:t>
            </w:r>
          </w:p>
        </w:tc>
        <w:tc>
          <w:tcPr>
            <w:tcW w:w="6057" w:type="dxa"/>
            <w:gridSpan w:val="2"/>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公告媒体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cs="宋体"/>
                <w:szCs w:val="21"/>
                <w:lang w:eastAsia="zh-CN"/>
              </w:rPr>
              <w:t>国家税务总局广西壮族自治区税务局南宁频道(nttp://guangxi. chinatax. gov. cn/nanning/)、广西科联招标中心有限公司网站（www.gxkl.com）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称：国家税务总局南宁市良庆区税务局</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r>
              <w:rPr>
                <w:rFonts w:hint="eastAsia" w:asciiTheme="minorEastAsia" w:hAnsiTheme="minorEastAsia" w:eastAsiaTheme="minorEastAsia" w:cstheme="minorEastAsia"/>
                <w:color w:val="auto"/>
                <w:kern w:val="0"/>
                <w:szCs w:val="21"/>
                <w:highlight w:val="none"/>
                <w:lang w:eastAsia="zh-CN"/>
              </w:rPr>
              <w:t>南宁市良庆区玉洞大道33号南宁市民中心</w:t>
            </w:r>
            <w:r>
              <w:rPr>
                <w:rFonts w:hint="eastAsia" w:asciiTheme="minorEastAsia" w:hAnsiTheme="minorEastAsia" w:eastAsiaTheme="minorEastAsia" w:cstheme="minorEastAsia"/>
                <w:color w:val="auto"/>
                <w:kern w:val="0"/>
                <w:szCs w:val="21"/>
                <w:highlight w:val="none"/>
              </w:rPr>
              <w:t xml:space="preserve">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联系方式：曾祥宁，0771-4509980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采购代理机构</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名称：广西科联招标中心有限公司</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地址：广西南宁市大学东路170号</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购买磋商文件联系</w:t>
            </w:r>
            <w:r>
              <w:rPr>
                <w:rFonts w:hint="eastAsia" w:asciiTheme="minorEastAsia" w:hAnsiTheme="minorEastAsia" w:eastAsiaTheme="minorEastAsia" w:cstheme="minorEastAsia"/>
                <w:color w:val="auto"/>
                <w:szCs w:val="21"/>
                <w:highlight w:val="none"/>
                <w:lang w:eastAsia="zh-CN"/>
              </w:rPr>
              <w:t>方式</w:t>
            </w:r>
            <w:r>
              <w:rPr>
                <w:rFonts w:hint="eastAsia" w:asciiTheme="minorEastAsia" w:hAnsiTheme="minorEastAsia" w:eastAsiaTheme="minorEastAsia" w:cstheme="minorEastAsia"/>
                <w:color w:val="auto"/>
                <w:szCs w:val="21"/>
                <w:highlight w:val="none"/>
              </w:rPr>
              <w:t>：李艳、刘鑫莹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0"/>
                <w:szCs w:val="21"/>
                <w:highlight w:val="none"/>
              </w:rPr>
              <w:t>0771-2273368</w:t>
            </w: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保证金到账查询联系人：</w:t>
            </w:r>
            <w:r>
              <w:rPr>
                <w:rFonts w:hint="eastAsia" w:asciiTheme="minorEastAsia" w:hAnsiTheme="minorEastAsia" w:eastAsiaTheme="minorEastAsia" w:cstheme="minorEastAsia"/>
                <w:bCs/>
                <w:color w:val="auto"/>
                <w:szCs w:val="21"/>
                <w:highlight w:val="none"/>
              </w:rPr>
              <w:t>贺丹华、黄缨然</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kern w:val="0"/>
                <w:szCs w:val="21"/>
                <w:highlight w:val="none"/>
              </w:rPr>
              <w:t>0771-2203986</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保证金退付、服务费缴纳联系</w:t>
            </w:r>
            <w:r>
              <w:rPr>
                <w:rFonts w:hint="eastAsia" w:asciiTheme="minorEastAsia" w:hAnsiTheme="minorEastAsia" w:eastAsiaTheme="minorEastAsia" w:cstheme="minorEastAsia"/>
                <w:color w:val="auto"/>
                <w:szCs w:val="21"/>
                <w:highlight w:val="none"/>
                <w:lang w:eastAsia="zh-CN"/>
              </w:rPr>
              <w:t>方式</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贺丹华、黄缨然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0771-2203986</w:t>
            </w:r>
          </w:p>
          <w:p>
            <w:pPr>
              <w:keepNext w:val="0"/>
              <w:keepLines w:val="0"/>
              <w:pageBreakBefore w:val="0"/>
              <w:widowControl w:val="0"/>
              <w:kinsoku/>
              <w:wordWrap/>
              <w:overflowPunct/>
              <w:topLinePunct w:val="0"/>
              <w:bidi w:val="0"/>
              <w:adjustRightInd/>
              <w:spacing w:line="380" w:lineRule="exact"/>
              <w:jc w:val="left"/>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szCs w:val="21"/>
                <w:highlight w:val="none"/>
              </w:rPr>
              <w:t>项目咨询联系人：</w:t>
            </w:r>
            <w:r>
              <w:rPr>
                <w:rFonts w:hint="eastAsia" w:asciiTheme="minorEastAsia" w:hAnsiTheme="minorEastAsia" w:eastAsiaTheme="minorEastAsia" w:cstheme="minorEastAsia"/>
                <w:bCs/>
                <w:color w:val="auto"/>
                <w:szCs w:val="21"/>
                <w:highlight w:val="none"/>
                <w:lang w:eastAsia="zh-CN"/>
              </w:rPr>
              <w:t>陈林</w:t>
            </w:r>
            <w:r>
              <w:rPr>
                <w:rFonts w:hint="eastAsia" w:asciiTheme="minorEastAsia" w:hAnsiTheme="minorEastAsia" w:eastAsiaTheme="minorEastAsia" w:cstheme="minorEastAsia"/>
                <w:color w:val="auto"/>
                <w:szCs w:val="21"/>
                <w:highlight w:val="none"/>
              </w:rPr>
              <w:t xml:space="preserve">           联系电话：</w:t>
            </w:r>
            <w:r>
              <w:rPr>
                <w:rFonts w:hint="eastAsia" w:asciiTheme="minorEastAsia" w:hAnsiTheme="minorEastAsia" w:eastAsiaTheme="minorEastAsia" w:cstheme="minorEastAsia"/>
                <w:color w:val="auto"/>
                <w:kern w:val="0"/>
                <w:szCs w:val="21"/>
                <w:highlight w:val="none"/>
              </w:rPr>
              <w:t>0771-</w:t>
            </w:r>
            <w:r>
              <w:rPr>
                <w:rFonts w:hint="eastAsia" w:asciiTheme="minorEastAsia" w:hAnsiTheme="minorEastAsia" w:eastAsiaTheme="minorEastAsia" w:cstheme="minorEastAsia"/>
                <w:color w:val="auto"/>
                <w:kern w:val="0"/>
                <w:szCs w:val="21"/>
                <w:highlight w:val="none"/>
                <w:lang w:val="en-US" w:eastAsia="zh-CN"/>
              </w:rPr>
              <w:t>2203960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供应商资格条件</w:t>
            </w:r>
            <w:r>
              <w:rPr>
                <w:rFonts w:hint="eastAsia" w:ascii="Times New Roman" w:hAnsi="Times New Roman"/>
                <w:color w:val="auto"/>
                <w:highlight w:val="none"/>
              </w:rPr>
              <w:t>（必须同时具备）</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供应商资格要求：</w:t>
            </w:r>
          </w:p>
          <w:p>
            <w:pPr>
              <w:keepNext w:val="0"/>
              <w:keepLines w:val="0"/>
              <w:pageBreakBefore w:val="0"/>
              <w:widowControl w:val="0"/>
              <w:kinsoku/>
              <w:wordWrap/>
              <w:overflowPunct/>
              <w:topLinePunct w:val="0"/>
              <w:bidi w:val="0"/>
              <w:adjustRightInd/>
              <w:spacing w:line="380" w:lineRule="exact"/>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color w:val="auto"/>
                <w:highlight w:val="none"/>
                <w:lang w:eastAsia="zh-CN"/>
              </w:rPr>
              <w:t>：</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color w:val="auto"/>
                <w:highlight w:val="none"/>
              </w:rPr>
              <w:t>本项目采购标的对应的中小企业划分标准所属行业为</w:t>
            </w:r>
            <w:r>
              <w:rPr>
                <w:rFonts w:hint="eastAsia"/>
                <w:color w:val="auto"/>
                <w:highlight w:val="none"/>
                <w:lang w:eastAsia="zh-CN"/>
              </w:rPr>
              <w:t>商务服务业。</w:t>
            </w:r>
          </w:p>
          <w:p>
            <w:pPr>
              <w:pStyle w:val="2"/>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szCs w:val="21"/>
                <w:highlight w:val="none"/>
                <w:lang w:val="en-US" w:eastAsia="zh-CN"/>
              </w:rPr>
              <w:t>无。</w:t>
            </w:r>
          </w:p>
          <w:p>
            <w:pPr>
              <w:pStyle w:val="2"/>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5.不存在不良信用记录（</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宋体" w:hAnsi="宋体" w:cs="宋体"/>
                <w:color w:val="auto"/>
                <w:kern w:val="0"/>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2"/>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项目现场勘察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不组织</w:t>
            </w:r>
            <w:r>
              <w:rPr>
                <w:rFonts w:hint="eastAsia" w:asciiTheme="minorEastAsia" w:hAnsiTheme="minorEastAsia" w:eastAsiaTheme="minorEastAsia" w:cstheme="minorEastAsia"/>
                <w:color w:val="auto"/>
                <w:kern w:val="0"/>
                <w:szCs w:val="21"/>
                <w:highlight w:val="none"/>
                <w:lang w:eastAsia="zh-CN"/>
              </w:rPr>
              <w:t>（根据报名人数情况而定）</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组织：____________________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1.时间：____________________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2.地点：____________________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样品</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□要求提供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样品制作的标准和要求：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样品检测报告：（□否；□是，检测机构的要求、检测内容详见第六章 项目采购需求）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3.样品的评审方法及评审标准：内容详见第三章</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联合体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不接受</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分包</w:t>
            </w:r>
          </w:p>
        </w:tc>
        <w:tc>
          <w:tcPr>
            <w:tcW w:w="6057" w:type="dxa"/>
            <w:gridSpan w:val="2"/>
          </w:tcPr>
          <w:p>
            <w:pPr>
              <w:keepNext w:val="0"/>
              <w:keepLines w:val="0"/>
              <w:pageBreakBefore w:val="0"/>
              <w:widowControl w:val="0"/>
              <w:kinsoku/>
              <w:wordWrap/>
              <w:overflowPunct/>
              <w:topLinePunct w:val="0"/>
              <w:bidi w:val="0"/>
              <w:adjustRightInd/>
              <w:spacing w:line="380" w:lineRule="exact"/>
              <w:ind w:left="8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lang w:val="zh-TW"/>
              </w:rPr>
              <w:t>不接受</w:t>
            </w:r>
          </w:p>
          <w:p>
            <w:pPr>
              <w:keepNext w:val="0"/>
              <w:keepLines w:val="0"/>
              <w:pageBreakBefore w:val="0"/>
              <w:widowControl w:val="0"/>
              <w:kinsoku/>
              <w:wordWrap/>
              <w:overflowPunct/>
              <w:topLinePunct w:val="0"/>
              <w:bidi w:val="0"/>
              <w:adjustRightInd/>
              <w:spacing w:line="380" w:lineRule="exact"/>
              <w:ind w:left="80"/>
              <w:jc w:val="left"/>
              <w:rPr>
                <w:rFonts w:hint="eastAsia"/>
                <w:color w:val="auto"/>
                <w:highlight w:val="none"/>
                <w:lang w:val="zh-TW"/>
              </w:rPr>
            </w:pPr>
            <w:r>
              <w:rPr>
                <w:rFonts w:hint="eastAsia"/>
                <w:color w:val="auto"/>
                <w:highlight w:val="none"/>
              </w:rPr>
              <w:t>□</w:t>
            </w:r>
            <w:r>
              <w:rPr>
                <w:rFonts w:hint="eastAsia"/>
                <w:color w:val="auto"/>
                <w:highlight w:val="none"/>
                <w:lang w:val="zh-TW"/>
              </w:rPr>
              <w:t>接受：分包要求详见第六章项目采购需求</w:t>
            </w:r>
          </w:p>
          <w:p>
            <w:pPr>
              <w:pStyle w:val="3"/>
              <w:rPr>
                <w:rFonts w:hint="eastAsia"/>
                <w:color w:val="auto"/>
                <w:highlight w:val="none"/>
              </w:rPr>
            </w:pPr>
            <w:r>
              <w:rPr>
                <w:rFonts w:hint="eastAsia" w:asciiTheme="minorEastAsia" w:hAnsiTheme="minorEastAsia" w:eastAsiaTheme="minorEastAsia" w:cstheme="minorEastAsia"/>
                <w:b w:val="0"/>
                <w:bCs/>
                <w:color w:val="auto"/>
                <w:szCs w:val="21"/>
                <w:highlight w:val="none"/>
                <w:u w:val="single"/>
              </w:rPr>
              <w:t>注：享受扶持政策获得采购合同的，小微企业不得将合同分包给大中型企业，中型企业不得将合同分包给大型企业。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1735" w:type="dxa"/>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支持中小企业发展</w:t>
            </w:r>
            <w:r>
              <w:rPr>
                <w:rFonts w:hint="eastAsia" w:ascii="Times New Roman" w:hAnsi="Times New Roman"/>
                <w:color w:val="auto"/>
                <w:sz w:val="21"/>
                <w:szCs w:val="21"/>
                <w:highlight w:val="none"/>
              </w:rPr>
              <w:t>（监狱企业、</w:t>
            </w:r>
            <w:r>
              <w:rPr>
                <w:rFonts w:hint="eastAsia" w:hAnsi="宋体" w:cs="MingLiU_HKSCS"/>
                <w:color w:val="auto"/>
                <w:sz w:val="21"/>
                <w:szCs w:val="21"/>
                <w:highlight w:val="none"/>
              </w:rPr>
              <w:t>残疾人福利性单位视同小型、微型企业，享受预留份额、评审中价格扣除等促进中小企业发展的扶持政策。残疾人福利性单位属于小型、微型企业的，不重复享受政策。</w:t>
            </w:r>
            <w:r>
              <w:rPr>
                <w:rFonts w:hint="eastAsia" w:ascii="Times New Roman" w:hAnsi="Times New Roman"/>
                <w:color w:val="auto"/>
                <w:sz w:val="21"/>
                <w:szCs w:val="21"/>
                <w:highlight w:val="none"/>
              </w:rPr>
              <w:t>）</w:t>
            </w:r>
          </w:p>
        </w:tc>
        <w:tc>
          <w:tcPr>
            <w:tcW w:w="6057" w:type="dxa"/>
            <w:gridSpan w:val="2"/>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 专门面向中小企业采购项目</w:t>
            </w:r>
          </w:p>
          <w:p>
            <w:pPr>
              <w:pStyle w:val="20"/>
              <w:spacing w:line="330" w:lineRule="exact"/>
              <w:jc w:val="left"/>
              <w:rPr>
                <w:rFonts w:hint="eastAsia" w:asciiTheme="minorEastAsia" w:hAnsiTheme="minorEastAsia" w:eastAsiaTheme="minorEastAsia" w:cstheme="minorEastAsia"/>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kern w:val="2"/>
                <w:sz w:val="21"/>
                <w:szCs w:val="21"/>
                <w:highlight w:val="none"/>
                <w:u w:val="none"/>
                <w:lang w:val="en-US" w:eastAsia="zh-CN" w:bidi="ar-SA"/>
              </w:rPr>
              <w:t>本项目为专门面对中小企业项目，小微企业、监狱企业、残疾人福利性单位不再执行价格评审优惠的扶持政策。</w:t>
            </w:r>
          </w:p>
          <w:p>
            <w:pPr>
              <w:pStyle w:val="20"/>
              <w:pageBreakBefore w:val="0"/>
              <w:widowControl w:val="0"/>
              <w:kinsoku/>
              <w:wordWrap/>
              <w:overflowPunct/>
              <w:topLinePunct w:val="0"/>
              <w:bidi w:val="0"/>
              <w:adjustRightInd/>
              <w:spacing w:line="400" w:lineRule="exact"/>
              <w:jc w:val="left"/>
              <w:rPr>
                <w:color w:val="auto"/>
                <w:sz w:val="21"/>
                <w:szCs w:val="21"/>
                <w:highlight w:val="none"/>
              </w:rPr>
            </w:pPr>
            <w:r>
              <w:rPr>
                <w:rFonts w:hint="eastAsia"/>
                <w:color w:val="auto"/>
                <w:sz w:val="21"/>
                <w:szCs w:val="21"/>
                <w:highlight w:val="none"/>
                <w:lang w:val="zh-TW" w:eastAsia="zh-CN"/>
              </w:rPr>
              <w:t xml:space="preserve">□ </w:t>
            </w:r>
            <w:r>
              <w:rPr>
                <w:rFonts w:hint="eastAsia"/>
                <w:color w:val="auto"/>
                <w:sz w:val="21"/>
                <w:szCs w:val="21"/>
                <w:highlight w:val="none"/>
              </w:rPr>
              <w:t>非专门面向中小企业采购项目（价格扣除）：</w:t>
            </w:r>
          </w:p>
          <w:p>
            <w:pPr>
              <w:pStyle w:val="20"/>
              <w:pageBreakBefore w:val="0"/>
              <w:widowControl w:val="0"/>
              <w:kinsoku/>
              <w:wordWrap/>
              <w:overflowPunct/>
              <w:topLinePunct w:val="0"/>
              <w:bidi w:val="0"/>
              <w:adjustRightInd/>
              <w:spacing w:line="400" w:lineRule="exact"/>
              <w:jc w:val="left"/>
              <w:rPr>
                <w:rFonts w:hint="eastAsia" w:eastAsia="宋体"/>
                <w:color w:val="auto"/>
                <w:sz w:val="21"/>
                <w:szCs w:val="21"/>
                <w:highlight w:val="none"/>
                <w:lang w:val="en-US" w:eastAsia="zh-CN"/>
              </w:rPr>
            </w:pPr>
            <w:r>
              <w:rPr>
                <w:rFonts w:hint="eastAsia"/>
                <w:color w:val="auto"/>
                <w:sz w:val="21"/>
                <w:szCs w:val="21"/>
                <w:highlight w:val="none"/>
              </w:rPr>
              <w:t>1.对小型和微型企业产品的价格给予</w:t>
            </w:r>
            <w:r>
              <w:rPr>
                <w:color w:val="auto"/>
                <w:sz w:val="21"/>
                <w:szCs w:val="21"/>
                <w:highlight w:val="none"/>
              </w:rPr>
              <w:t>6%</w:t>
            </w: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的扣除，用扣除后的价格参与评审。本项目的扣除比例为：小型企业扣除7</w:t>
            </w:r>
            <w:r>
              <w:rPr>
                <w:color w:val="auto"/>
                <w:sz w:val="21"/>
                <w:szCs w:val="21"/>
                <w:highlight w:val="none"/>
              </w:rPr>
              <w:t>%</w:t>
            </w:r>
            <w:r>
              <w:rPr>
                <w:rFonts w:hint="eastAsia"/>
                <w:color w:val="auto"/>
                <w:sz w:val="21"/>
                <w:szCs w:val="21"/>
                <w:highlight w:val="none"/>
              </w:rPr>
              <w:t>，微型企业扣除7</w:t>
            </w:r>
            <w:r>
              <w:rPr>
                <w:color w:val="auto"/>
                <w:sz w:val="21"/>
                <w:szCs w:val="21"/>
                <w:highlight w:val="none"/>
              </w:rPr>
              <w:t>%</w:t>
            </w:r>
            <w:r>
              <w:rPr>
                <w:rFonts w:hint="eastAsia"/>
                <w:color w:val="auto"/>
                <w:sz w:val="21"/>
                <w:szCs w:val="21"/>
                <w:highlight w:val="none"/>
              </w:rPr>
              <w:t>。</w:t>
            </w:r>
          </w:p>
          <w:p>
            <w:pPr>
              <w:pStyle w:val="20"/>
              <w:pageBreakBefore w:val="0"/>
              <w:widowControl w:val="0"/>
              <w:kinsoku/>
              <w:wordWrap/>
              <w:overflowPunct/>
              <w:topLinePunct w:val="0"/>
              <w:bidi w:val="0"/>
              <w:adjustRightInd/>
              <w:spacing w:line="400" w:lineRule="exact"/>
              <w:jc w:val="left"/>
              <w:rPr>
                <w:color w:val="auto"/>
                <w:sz w:val="21"/>
                <w:szCs w:val="21"/>
                <w:highlight w:val="none"/>
              </w:rPr>
            </w:pPr>
            <w:r>
              <w:rPr>
                <w:rFonts w:hint="eastAsia"/>
                <w:color w:val="auto"/>
                <w:sz w:val="21"/>
                <w:szCs w:val="21"/>
                <w:highlight w:val="none"/>
              </w:rPr>
              <w:t>2.本项目接受联合体或者分包</w:t>
            </w:r>
            <w:r>
              <w:rPr>
                <w:rFonts w:hint="eastAsia"/>
                <w:color w:val="auto"/>
                <w:sz w:val="21"/>
                <w:szCs w:val="21"/>
                <w:highlight w:val="none"/>
                <w:lang w:val="en-US" w:eastAsia="zh-CN"/>
              </w:rPr>
              <w:t>参与磋商</w:t>
            </w:r>
            <w:r>
              <w:rPr>
                <w:rFonts w:hint="eastAsia"/>
                <w:color w:val="auto"/>
                <w:sz w:val="21"/>
                <w:szCs w:val="21"/>
                <w:highlight w:val="none"/>
              </w:rPr>
              <w:t>的，若小型和微型企业的协议合同金额占到联合体协议或者分包意向协议合同总金额</w:t>
            </w:r>
            <w:r>
              <w:rPr>
                <w:color w:val="auto"/>
                <w:sz w:val="21"/>
                <w:szCs w:val="21"/>
                <w:highlight w:val="none"/>
              </w:rPr>
              <w:t>30%</w:t>
            </w:r>
            <w:r>
              <w:rPr>
                <w:rFonts w:hint="eastAsia"/>
                <w:color w:val="auto"/>
                <w:sz w:val="21"/>
                <w:szCs w:val="21"/>
                <w:highlight w:val="none"/>
              </w:rPr>
              <w:t>以上的，给予联合体或者大中型企业报价</w:t>
            </w:r>
            <w:r>
              <w:rPr>
                <w:color w:val="auto"/>
                <w:sz w:val="21"/>
                <w:szCs w:val="21"/>
                <w:highlight w:val="none"/>
              </w:rPr>
              <w:t>2%</w:t>
            </w: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的扣除，用扣除后的价格参与评审。本项目的扣除比例为：</w:t>
            </w:r>
            <w:r>
              <w:rPr>
                <w:color w:val="auto"/>
                <w:sz w:val="21"/>
                <w:szCs w:val="21"/>
                <w:highlight w:val="none"/>
              </w:rPr>
              <w:t>___%</w:t>
            </w:r>
            <w:r>
              <w:rPr>
                <w:rFonts w:hint="eastAsia"/>
                <w:color w:val="auto"/>
                <w:sz w:val="21"/>
                <w:szCs w:val="21"/>
                <w:highlight w:val="none"/>
              </w:rPr>
              <w:t>。</w:t>
            </w:r>
          </w:p>
          <w:p>
            <w:pPr>
              <w:pStyle w:val="20"/>
              <w:pageBreakBefore w:val="0"/>
              <w:widowControl w:val="0"/>
              <w:kinsoku/>
              <w:wordWrap/>
              <w:overflowPunct/>
              <w:topLinePunct w:val="0"/>
              <w:bidi w:val="0"/>
              <w:adjustRightInd/>
              <w:spacing w:line="400" w:lineRule="exact"/>
              <w:jc w:val="left"/>
              <w:rPr>
                <w:color w:val="auto"/>
                <w:sz w:val="21"/>
                <w:szCs w:val="21"/>
                <w:highlight w:val="none"/>
              </w:rPr>
            </w:pPr>
            <w:r>
              <w:rPr>
                <w:rFonts w:hint="eastAsia"/>
                <w:color w:val="auto"/>
                <w:sz w:val="21"/>
                <w:szCs w:val="21"/>
                <w:highlight w:val="none"/>
              </w:rPr>
              <w:t>□ 非专门面向中小企业采购项目（其他优惠）：</w:t>
            </w:r>
            <w:r>
              <w:rPr>
                <w:color w:val="auto"/>
                <w:sz w:val="21"/>
                <w:szCs w:val="21"/>
                <w:highlight w:val="none"/>
              </w:rPr>
              <w:t>____________________</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imes New Roman" w:hAnsi="Times New Roman" w:cs="Times New Roman"/>
                <w:color w:val="auto"/>
                <w:sz w:val="21"/>
                <w:szCs w:val="21"/>
                <w:highlight w:val="none"/>
                <w:u w:val="single"/>
              </w:rPr>
              <w:t>注：享受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成交，</w:t>
            </w:r>
            <w:r>
              <w:rPr>
                <w:rFonts w:hint="eastAsia" w:asciiTheme="minorEastAsia" w:hAnsiTheme="minorEastAsia" w:eastAsiaTheme="minorEastAsia" w:cstheme="minorEastAsia"/>
                <w:color w:val="auto"/>
                <w:kern w:val="2"/>
                <w:sz w:val="21"/>
                <w:szCs w:val="21"/>
                <w:highlight w:val="none"/>
                <w:u w:val="single"/>
                <w:lang w:val="en-US" w:eastAsia="zh-CN" w:bidi="ar-SA"/>
              </w:rPr>
              <w:t>依照国家有关规定追究相应责任。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9</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10</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供应商须提供的其他资料</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供应商应根据采购文件和项目采购需求提供相关资料。</w:t>
            </w:r>
            <w:r>
              <w:rPr>
                <w:rFonts w:hint="eastAsia" w:asciiTheme="minorEastAsia" w:hAnsiTheme="minorEastAsia" w:eastAsiaTheme="minorEastAsia" w:cstheme="minorEastAsia"/>
                <w:color w:val="auto"/>
                <w:highlight w:val="none"/>
                <w:u w:val="single"/>
              </w:rPr>
              <w:t>除采购文件要求必要的原件核对外，对于供应商能够在线提供的材料，供应商可不提供纸质材料。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澄清或者修改时间</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澄清或者修改的内容可能影响响应文件编制的，采购人或者采购代理机构磋商文件要求的提交首次响应文件截止时间至少2个工作日前，在磋商公告发布媒介上发布；不足2个工作日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递交磋商响应文件的截止时间和地点</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Cs/>
                <w:color w:val="auto"/>
                <w:szCs w:val="21"/>
                <w:highlight w:val="none"/>
                <w:u w:val="single"/>
                <w:lang w:eastAsia="zh-CN"/>
              </w:rPr>
              <w:t>2022年6月16日上午</w:t>
            </w:r>
            <w:r>
              <w:rPr>
                <w:rFonts w:hint="eastAsia" w:asciiTheme="minorEastAsia" w:hAnsiTheme="minorEastAsia" w:eastAsiaTheme="minorEastAsia" w:cstheme="minorEastAsia"/>
                <w:bCs/>
                <w:color w:val="auto"/>
                <w:szCs w:val="21"/>
                <w:highlight w:val="none"/>
                <w:u w:val="single"/>
                <w:lang w:val="en-US" w:eastAsia="zh-CN"/>
              </w:rPr>
              <w:t>9</w:t>
            </w:r>
            <w:r>
              <w:rPr>
                <w:rFonts w:hint="eastAsia" w:asciiTheme="minorEastAsia" w:hAnsiTheme="minorEastAsia" w:eastAsiaTheme="minorEastAsia" w:cstheme="minorEastAsia"/>
                <w:bCs/>
                <w:color w:val="auto"/>
                <w:szCs w:val="21"/>
                <w:highlight w:val="none"/>
                <w:u w:val="single"/>
              </w:rPr>
              <w:t>点</w:t>
            </w:r>
            <w:r>
              <w:rPr>
                <w:rFonts w:hint="eastAsia" w:asciiTheme="minorEastAsia" w:hAnsiTheme="minorEastAsia" w:eastAsiaTheme="minorEastAsia" w:cstheme="minorEastAsia"/>
                <w:bCs/>
                <w:color w:val="auto"/>
                <w:szCs w:val="21"/>
                <w:highlight w:val="none"/>
                <w:u w:val="single"/>
                <w:lang w:val="en-US" w:eastAsia="zh-CN"/>
              </w:rPr>
              <w:t>3</w:t>
            </w:r>
            <w:r>
              <w:rPr>
                <w:rFonts w:hint="eastAsia" w:asciiTheme="minorEastAsia" w:hAnsiTheme="minorEastAsia" w:eastAsiaTheme="minorEastAsia" w:cstheme="minorEastAsia"/>
                <w:bCs/>
                <w:color w:val="auto"/>
                <w:szCs w:val="21"/>
                <w:highlight w:val="none"/>
                <w:u w:val="single"/>
              </w:rPr>
              <w:t>0分</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地点：广西科联招标中心有限公司一楼开标大厅（广西南宁市大学东路170号广西农业机械研究院有限公司内）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磋商响应文件开启时间和地点</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Cs/>
                <w:color w:val="auto"/>
                <w:szCs w:val="21"/>
                <w:highlight w:val="none"/>
                <w:u w:val="single"/>
                <w:lang w:eastAsia="zh-CN"/>
              </w:rPr>
              <w:t>2022年6月16日上午</w:t>
            </w:r>
            <w:r>
              <w:rPr>
                <w:rFonts w:hint="eastAsia" w:asciiTheme="minorEastAsia" w:hAnsiTheme="minorEastAsia" w:eastAsiaTheme="minorEastAsia" w:cstheme="minorEastAsia"/>
                <w:bCs/>
                <w:color w:val="auto"/>
                <w:szCs w:val="21"/>
                <w:highlight w:val="none"/>
                <w:u w:val="single"/>
                <w:lang w:val="en-US" w:eastAsia="zh-CN"/>
              </w:rPr>
              <w:t>9</w:t>
            </w:r>
            <w:r>
              <w:rPr>
                <w:rFonts w:hint="eastAsia" w:asciiTheme="minorEastAsia" w:hAnsiTheme="minorEastAsia" w:eastAsiaTheme="minorEastAsia" w:cstheme="minorEastAsia"/>
                <w:bCs/>
                <w:color w:val="auto"/>
                <w:szCs w:val="21"/>
                <w:highlight w:val="none"/>
                <w:u w:val="single"/>
              </w:rPr>
              <w:t>点</w:t>
            </w:r>
            <w:r>
              <w:rPr>
                <w:rFonts w:hint="eastAsia" w:asciiTheme="minorEastAsia" w:hAnsiTheme="minorEastAsia" w:eastAsiaTheme="minorEastAsia" w:cstheme="minorEastAsia"/>
                <w:bCs/>
                <w:color w:val="auto"/>
                <w:szCs w:val="21"/>
                <w:highlight w:val="none"/>
                <w:u w:val="single"/>
                <w:lang w:val="en-US" w:eastAsia="zh-CN"/>
              </w:rPr>
              <w:t>3</w:t>
            </w:r>
            <w:r>
              <w:rPr>
                <w:rFonts w:hint="eastAsia" w:asciiTheme="minorEastAsia" w:hAnsiTheme="minorEastAsia" w:eastAsiaTheme="minorEastAsia" w:cstheme="minorEastAsia"/>
                <w:bCs/>
                <w:color w:val="auto"/>
                <w:szCs w:val="21"/>
                <w:highlight w:val="none"/>
                <w:u w:val="single"/>
              </w:rPr>
              <w:t>0分</w:t>
            </w:r>
            <w:r>
              <w:rPr>
                <w:rFonts w:hint="eastAsia" w:asciiTheme="minorEastAsia" w:hAnsiTheme="minorEastAsia" w:eastAsiaTheme="minorEastAsia" w:cstheme="minorEastAsia"/>
                <w:bCs/>
                <w:color w:val="auto"/>
                <w:szCs w:val="21"/>
                <w:highlight w:val="none"/>
                <w:u w:val="none"/>
                <w:lang w:eastAsia="zh-CN"/>
              </w:rPr>
              <w:t>后</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地点：广西科联招标中心有限公司一楼开标大厅（广西南宁市大学东路170号广西农业机械研究院有限公司内）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rPr>
            </w:pPr>
            <w:r>
              <w:rPr>
                <w:rFonts w:hint="eastAsia" w:asciiTheme="minorEastAsia" w:hAnsiTheme="minorEastAsia" w:eastAsiaTheme="minorEastAsia" w:cstheme="minorEastAsia"/>
                <w:color w:val="auto"/>
                <w:kern w:val="0"/>
                <w:szCs w:val="21"/>
                <w:highlight w:val="none"/>
                <w:lang w:val="en-US" w:eastAsia="zh-CN"/>
              </w:rPr>
              <w:t>14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磋商保证金</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要求提供</w:t>
            </w:r>
            <w:r>
              <w:rPr>
                <w:rFonts w:hint="eastAsia" w:ascii="Times New Roman" w:hAnsi="Times New Roman" w:eastAsia="MingLiU_HKSCS" w:cs="MingLiU_HKSCS"/>
                <w:color w:val="auto"/>
                <w:highlight w:val="none"/>
              </w:rPr>
              <w:t>，</w:t>
            </w:r>
            <w:r>
              <w:rPr>
                <w:rFonts w:hint="eastAsia" w:ascii="Times New Roman" w:hAnsi="Times New Roman"/>
                <w:color w:val="auto"/>
                <w:highlight w:val="none"/>
              </w:rPr>
              <w:t>数额</w:t>
            </w:r>
            <w:r>
              <w:rPr>
                <w:rFonts w:hint="eastAsia" w:asciiTheme="minorEastAsia" w:hAnsiTheme="minorEastAsia" w:eastAsiaTheme="minorEastAsia" w:cstheme="minorEastAsia"/>
                <w:color w:val="auto"/>
                <w:kern w:val="0"/>
                <w:szCs w:val="21"/>
                <w:highlight w:val="none"/>
              </w:rPr>
              <w:t>不得超过采购项目预算金额的2%，</w:t>
            </w:r>
            <w:r>
              <w:rPr>
                <w:rFonts w:hint="eastAsia" w:asciiTheme="minorEastAsia" w:hAnsiTheme="minorEastAsia" w:eastAsiaTheme="minorEastAsia" w:cstheme="minorEastAsia"/>
                <w:b/>
                <w:color w:val="auto"/>
                <w:kern w:val="0"/>
                <w:szCs w:val="21"/>
                <w:highlight w:val="none"/>
              </w:rPr>
              <w:t>本项目的磋商保证金为人民</w:t>
            </w:r>
            <w:r>
              <w:rPr>
                <w:rFonts w:hint="eastAsia" w:asciiTheme="minorEastAsia" w:hAnsiTheme="minorEastAsia" w:eastAsiaTheme="minorEastAsia" w:cstheme="minorEastAsia"/>
                <w:b/>
                <w:bCs w:val="0"/>
                <w:color w:val="auto"/>
                <w:kern w:val="0"/>
                <w:szCs w:val="21"/>
                <w:highlight w:val="none"/>
              </w:rPr>
              <w:t>币</w:t>
            </w:r>
            <w:r>
              <w:rPr>
                <w:rFonts w:hint="eastAsia" w:asciiTheme="minorEastAsia" w:hAnsiTheme="minorEastAsia" w:eastAsiaTheme="minorEastAsia" w:cstheme="minorEastAsia"/>
                <w:b/>
                <w:bCs w:val="0"/>
                <w:color w:val="auto"/>
                <w:kern w:val="0"/>
                <w:szCs w:val="21"/>
                <w:highlight w:val="none"/>
                <w:u w:val="single"/>
                <w:lang w:val="en-US" w:eastAsia="zh-CN"/>
              </w:rPr>
              <w:fldChar w:fldCharType="begin"/>
            </w:r>
            <w:r>
              <w:rPr>
                <w:rFonts w:hint="eastAsia" w:asciiTheme="minorEastAsia" w:hAnsiTheme="minorEastAsia" w:eastAsiaTheme="minorEastAsia" w:cstheme="minorEastAsia"/>
                <w:b/>
                <w:bCs w:val="0"/>
                <w:color w:val="auto"/>
                <w:kern w:val="0"/>
                <w:szCs w:val="21"/>
                <w:highlight w:val="none"/>
                <w:u w:val="single"/>
                <w:lang w:val="en-US" w:eastAsia="zh-CN"/>
              </w:rPr>
              <w:instrText xml:space="preserve"> = 9000 \* CHINESENUM2 \* MERGEFORMAT </w:instrText>
            </w:r>
            <w:r>
              <w:rPr>
                <w:rFonts w:hint="eastAsia" w:asciiTheme="minorEastAsia" w:hAnsiTheme="minorEastAsia" w:eastAsiaTheme="minorEastAsia" w:cstheme="minorEastAsia"/>
                <w:b/>
                <w:bCs w:val="0"/>
                <w:color w:val="auto"/>
                <w:kern w:val="0"/>
                <w:szCs w:val="21"/>
                <w:highlight w:val="none"/>
                <w:u w:val="single"/>
                <w:lang w:val="en-US" w:eastAsia="zh-CN"/>
              </w:rPr>
              <w:fldChar w:fldCharType="separate"/>
            </w:r>
            <w:r>
              <w:rPr>
                <w:b/>
                <w:bCs w:val="0"/>
                <w:color w:val="auto"/>
                <w:highlight w:val="none"/>
              </w:rPr>
              <w:t>玖仟</w:t>
            </w:r>
            <w:r>
              <w:rPr>
                <w:rFonts w:hint="eastAsia" w:asciiTheme="minorEastAsia" w:hAnsiTheme="minorEastAsia" w:eastAsiaTheme="minorEastAsia" w:cstheme="minorEastAsia"/>
                <w:b/>
                <w:bCs w:val="0"/>
                <w:color w:val="auto"/>
                <w:kern w:val="0"/>
                <w:szCs w:val="21"/>
                <w:highlight w:val="none"/>
                <w:u w:val="single"/>
                <w:lang w:val="en-US" w:eastAsia="zh-CN"/>
              </w:rPr>
              <w:fldChar w:fldCharType="end"/>
            </w:r>
            <w:r>
              <w:rPr>
                <w:rFonts w:hint="eastAsia" w:asciiTheme="minorEastAsia" w:hAnsiTheme="minorEastAsia" w:eastAsiaTheme="minorEastAsia" w:cstheme="minorEastAsia"/>
                <w:b/>
                <w:bCs w:val="0"/>
                <w:color w:val="auto"/>
                <w:kern w:val="0"/>
                <w:szCs w:val="21"/>
                <w:highlight w:val="none"/>
              </w:rPr>
              <w:t>元</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 xml:space="preserve"> </w:t>
            </w:r>
            <w:r>
              <w:rPr>
                <w:rFonts w:hint="eastAsia" w:asciiTheme="minorEastAsia" w:hAnsiTheme="minorEastAsia" w:eastAsiaTheme="minorEastAsia" w:cstheme="minorEastAsia"/>
                <w:b/>
                <w:color w:val="auto"/>
                <w:highlight w:val="none"/>
                <w:u w:val="single"/>
                <w:lang w:val="en-US" w:eastAsia="zh-CN"/>
              </w:rPr>
              <w:t>9000</w:t>
            </w:r>
            <w:r>
              <w:rPr>
                <w:rFonts w:hint="eastAsia" w:asciiTheme="minorEastAsia" w:hAnsiTheme="minorEastAsia" w:eastAsiaTheme="minorEastAsia" w:cstheme="minorEastAsia"/>
                <w:b/>
                <w:color w:val="auto"/>
                <w:highlight w:val="none"/>
                <w:u w:val="single"/>
              </w:rPr>
              <w:t>.00</w:t>
            </w:r>
            <w:r>
              <w:rPr>
                <w:rFonts w:hint="eastAsia" w:asciiTheme="minorEastAsia" w:hAnsiTheme="minorEastAsia" w:eastAsiaTheme="minorEastAsia" w:cstheme="minorEastAsia"/>
                <w:b/>
                <w:color w:val="auto"/>
                <w:highlight w:val="none"/>
                <w:u w:val="single"/>
                <w:lang w:eastAsia="zh-CN"/>
              </w:rPr>
              <w:t>元</w:t>
            </w:r>
            <w:r>
              <w:rPr>
                <w:rFonts w:hint="eastAsia" w:asciiTheme="minorEastAsia" w:hAnsiTheme="minorEastAsia" w:eastAsiaTheme="minorEastAsia" w:cstheme="minorEastAsia"/>
                <w:b/>
                <w:color w:val="auto"/>
                <w:highlight w:val="none"/>
              </w:rPr>
              <w:t>)，</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hAnsi="宋体"/>
                <w:color w:val="auto"/>
                <w:kern w:val="0"/>
                <w:highlight w:val="none"/>
                <w:lang w:val="en-US" w:eastAsia="zh-CN"/>
              </w:rPr>
              <w:t>磋商</w:t>
            </w:r>
            <w:r>
              <w:rPr>
                <w:rFonts w:hint="eastAsia" w:hAnsi="宋体"/>
                <w:color w:val="auto"/>
                <w:kern w:val="0"/>
                <w:highlight w:val="none"/>
              </w:rPr>
              <w:t>保证金的交纳方式：银行转账、支票、汇票、本票或者金融、担保机构出具的保函，禁止采用现钞方式。采用银行转账方式的，</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rPr>
              <w:t>响应文件递交截止时间前交至采购代理机构指定账户并且到账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采用</w:t>
            </w:r>
            <w:r>
              <w:rPr>
                <w:rFonts w:hint="eastAsia" w:asciiTheme="minorEastAsia" w:hAnsiTheme="minorEastAsia" w:eastAsiaTheme="minorEastAsia" w:cstheme="minorEastAsia"/>
                <w:color w:val="auto"/>
                <w:szCs w:val="21"/>
                <w:highlight w:val="none"/>
              </w:rPr>
              <w:t>支票、汇票、本票或者保函等</w:t>
            </w:r>
            <w:r>
              <w:rPr>
                <w:rFonts w:hint="eastAsia" w:asciiTheme="minorEastAsia" w:hAnsiTheme="minorEastAsia" w:eastAsiaTheme="minorEastAsia" w:cstheme="minorEastAsia"/>
                <w:color w:val="auto"/>
                <w:szCs w:val="21"/>
                <w:highlight w:val="none"/>
                <w:lang w:val="en-US" w:eastAsia="zh-CN"/>
              </w:rPr>
              <w:t>方式的，在</w:t>
            </w:r>
            <w:r>
              <w:rPr>
                <w:rFonts w:hint="eastAsia" w:asciiTheme="minorEastAsia" w:hAnsiTheme="minorEastAsia" w:eastAsiaTheme="minorEastAsia" w:cstheme="minorEastAsia"/>
                <w:color w:val="auto"/>
                <w:szCs w:val="21"/>
                <w:highlight w:val="none"/>
              </w:rPr>
              <w:t>响应文件递交截止时间前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供应商必须递交单独的支票、汇票、本票或者保函原件。否则视为无效磋商保证金</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收款人户名：广西科联招标中心有限公司</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开户银行：招商银行南宁市双拥路支行</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lang w:eastAsia="zh-CN"/>
              </w:rPr>
              <w:t>7719011969103333000003659</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磋商响应有效期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自响应文件提交截止时间起</w:t>
            </w:r>
            <w:r>
              <w:rPr>
                <w:rFonts w:hint="eastAsia" w:asciiTheme="minorEastAsia" w:hAnsiTheme="minorEastAsia" w:eastAsiaTheme="minorEastAsia" w:cstheme="minorEastAsia"/>
                <w:color w:val="auto"/>
                <w:kern w:val="0"/>
                <w:szCs w:val="21"/>
                <w:highlight w:val="none"/>
              </w:rPr>
              <w:t>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响应文件的</w:t>
            </w:r>
            <w:r>
              <w:rPr>
                <w:rFonts w:hint="eastAsia" w:asciiTheme="minorEastAsia" w:hAnsiTheme="minorEastAsia" w:eastAsiaTheme="minorEastAsia" w:cstheme="minorEastAsia"/>
                <w:color w:val="auto"/>
                <w:szCs w:val="21"/>
                <w:highlight w:val="none"/>
              </w:rPr>
              <w:t>组成和装订要求</w:t>
            </w:r>
          </w:p>
        </w:tc>
        <w:tc>
          <w:tcPr>
            <w:tcW w:w="6057"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响应文件组成和装订要求：</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★（1）响应文件的封面注明：响应文件（“正本”或“副本”）、供应商名称、供应商地址、项目名称、项目编号；</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u w:val="single"/>
                <w:lang w:eastAsia="zh-CN"/>
              </w:rPr>
            </w:pPr>
            <w:r>
              <w:rPr>
                <w:rFonts w:hint="eastAsia" w:asciiTheme="minorEastAsia" w:hAnsiTheme="minorEastAsia" w:eastAsiaTheme="minorEastAsia" w:cstheme="minorEastAsia"/>
                <w:b/>
                <w:color w:val="auto"/>
                <w:szCs w:val="21"/>
                <w:highlight w:val="none"/>
              </w:rPr>
              <w:t>★（2）响应文件数量：</w:t>
            </w:r>
            <w:r>
              <w:rPr>
                <w:rFonts w:hint="eastAsia" w:asciiTheme="minorEastAsia" w:hAnsiTheme="minorEastAsia" w:eastAsiaTheme="minorEastAsia" w:cstheme="minorEastAsia"/>
                <w:b/>
                <w:color w:val="auto"/>
                <w:szCs w:val="21"/>
                <w:highlight w:val="none"/>
                <w:u w:val="single"/>
              </w:rPr>
              <w:t>正本 1 份，副本 4 份</w:t>
            </w:r>
            <w:r>
              <w:rPr>
                <w:rFonts w:hint="eastAsia" w:asciiTheme="minorEastAsia" w:hAnsiTheme="minorEastAsia" w:eastAsiaTheme="minorEastAsia" w:cstheme="minorEastAsia"/>
                <w:b/>
                <w:color w:val="auto"/>
                <w:szCs w:val="21"/>
                <w:highlight w:val="none"/>
                <w:u w:val="single"/>
                <w:lang w:eastAsia="zh-CN"/>
              </w:rPr>
              <w:t>，电子文件</w:t>
            </w:r>
            <w:r>
              <w:rPr>
                <w:rFonts w:hint="eastAsia" w:asciiTheme="minorEastAsia" w:hAnsiTheme="minorEastAsia" w:eastAsiaTheme="minorEastAsia" w:cstheme="minorEastAsia"/>
                <w:b/>
                <w:color w:val="auto"/>
                <w:szCs w:val="21"/>
                <w:highlight w:val="none"/>
                <w:u w:val="single"/>
                <w:lang w:val="en-US" w:eastAsia="zh-CN"/>
              </w:rPr>
              <w:t>1</w:t>
            </w:r>
            <w:r>
              <w:rPr>
                <w:rFonts w:hint="eastAsia" w:asciiTheme="minorEastAsia" w:hAnsiTheme="minorEastAsia" w:eastAsiaTheme="minorEastAsia" w:cstheme="minorEastAsia"/>
                <w:b/>
                <w:color w:val="auto"/>
                <w:szCs w:val="21"/>
                <w:highlight w:val="none"/>
                <w:u w:val="single"/>
                <w:lang w:eastAsia="zh-CN"/>
              </w:rPr>
              <w:t>份</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eastAsia="zh-CN"/>
              </w:rPr>
              <w:t>(</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b/>
                <w:color w:val="auto"/>
                <w:szCs w:val="21"/>
                <w:highlight w:val="none"/>
                <w:u w:val="single"/>
                <w:lang w:eastAsia="zh-CN"/>
              </w:rPr>
              <w:t>扫描件，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b/>
                <w:color w:val="auto"/>
                <w:szCs w:val="21"/>
                <w:highlight w:val="none"/>
                <w:u w:val="single"/>
                <w:lang w:eastAsia="zh-CN"/>
              </w:rPr>
              <w:t>Word，可多选)</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★（3）装订要求：所有响应文件必须密封封装在响应（</w:t>
            </w:r>
            <w:r>
              <w:rPr>
                <w:rFonts w:hint="eastAsia" w:asciiTheme="minorEastAsia" w:hAnsiTheme="minorEastAsia" w:eastAsiaTheme="minorEastAsia" w:cstheme="minorEastAsia"/>
                <w:b/>
                <w:color w:val="auto"/>
                <w:szCs w:val="21"/>
                <w:highlight w:val="none"/>
                <w:lang w:eastAsia="zh-CN"/>
              </w:rPr>
              <w:t>磋商</w:t>
            </w:r>
            <w:r>
              <w:rPr>
                <w:rFonts w:hint="eastAsia" w:asciiTheme="minorEastAsia" w:hAnsiTheme="minorEastAsia" w:eastAsiaTheme="minorEastAsia" w:cstheme="minorEastAsia"/>
                <w:b/>
                <w:color w:val="auto"/>
                <w:szCs w:val="21"/>
                <w:highlight w:val="none"/>
              </w:rPr>
              <w:t>）文件袋或纸箱中（如体积过大可分为几个包装）。</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（4）磋商保证金缴纳证明</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份，密封封装在文件袋中（该文件袋封面上写明项目名称、项目编号、供应商名称、以及“磋商保证金证明”字样），并单独提交。</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（5）请供应商提前准备《最终报价承诺书》，无需装订，磋商时如有要求再另行单独密封递交至磋商小组（格式详见第五章《响应文件组成》）。</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（6）供应商递交响应文件时，请同时单独递交供应商信息、响应文件签收回执，无需密封包装（格式详见第五章《响应文件组成》）。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响应文件封套上应载明的信息</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___________________(项目名称)响应文件</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在______年____月____日____时____分之前不得启封</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18</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信用查询</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采购人或采购代理机构通过“信用中国”网站(www. creditchina. gov.cn)、中国政府采购网(www.ccgp.gov.cn)查询相关主体信用记录。本次查询的信用记录打印的网页版将留存在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报告中。</w:t>
            </w:r>
            <w:r>
              <w:rPr>
                <w:rFonts w:hint="eastAsia" w:asciiTheme="minorEastAsia" w:hAnsiTheme="minorEastAsia" w:eastAsiaTheme="minorEastAsia" w:cstheme="minorEastAsia"/>
                <w:b/>
                <w:color w:val="auto"/>
                <w:kern w:val="0"/>
                <w:szCs w:val="21"/>
                <w:highlight w:val="none"/>
              </w:rPr>
              <w:t>本项目信用记录查询截止时点为</w:t>
            </w:r>
            <w:r>
              <w:rPr>
                <w:rFonts w:hint="eastAsia" w:asciiTheme="minorEastAsia" w:hAnsiTheme="minorEastAsia" w:eastAsiaTheme="minorEastAsia" w:cstheme="minorEastAsia"/>
                <w:b/>
                <w:color w:val="auto"/>
                <w:kern w:val="0"/>
                <w:szCs w:val="21"/>
                <w:highlight w:val="none"/>
                <w:u w:val="single"/>
                <w:lang w:val="en-US" w:eastAsia="zh-CN"/>
              </w:rPr>
              <w:t>响应</w:t>
            </w:r>
            <w:r>
              <w:rPr>
                <w:rFonts w:hint="eastAsia" w:asciiTheme="minorEastAsia" w:hAnsiTheme="minorEastAsia" w:eastAsiaTheme="minorEastAsia" w:cstheme="minorEastAsia"/>
                <w:b/>
                <w:color w:val="auto"/>
                <w:kern w:val="0"/>
                <w:szCs w:val="21"/>
                <w:highlight w:val="none"/>
                <w:u w:val="single"/>
                <w:lang w:eastAsia="zh-CN"/>
              </w:rPr>
              <w:t>文件开启</w:t>
            </w:r>
            <w:r>
              <w:rPr>
                <w:rFonts w:hint="eastAsia" w:asciiTheme="minorEastAsia" w:hAnsiTheme="minorEastAsia" w:eastAsiaTheme="minorEastAsia" w:cstheme="minorEastAsia"/>
                <w:b/>
                <w:color w:val="auto"/>
                <w:kern w:val="0"/>
                <w:szCs w:val="21"/>
                <w:highlight w:val="none"/>
                <w:u w:val="single"/>
              </w:rPr>
              <w:t>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19</w:t>
            </w:r>
          </w:p>
        </w:tc>
        <w:tc>
          <w:tcPr>
            <w:tcW w:w="1735" w:type="dxa"/>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eastAsia="zh-CN"/>
              </w:rPr>
              <w:t>评定成交的标准</w:t>
            </w:r>
          </w:p>
        </w:tc>
        <w:tc>
          <w:tcPr>
            <w:tcW w:w="6057" w:type="dxa"/>
            <w:gridSpan w:val="2"/>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1.采购人在</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报告确定的成交候选人名单中按顺序确定成交供应商。</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2.成交候选人并列的，按照以下方式确定成交供应商。</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①最低评标价法：</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随机抽取</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□其他____________________</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②综合评分法：</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随机抽取</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u w:val="single"/>
              </w:rPr>
              <w:t>得分相同</w:t>
            </w:r>
            <w:r>
              <w:rPr>
                <w:rFonts w:hint="eastAsia" w:asciiTheme="minorEastAsia" w:hAnsiTheme="minorEastAsia" w:eastAsiaTheme="minorEastAsia" w:cstheme="minorEastAsia"/>
                <w:color w:val="auto"/>
                <w:sz w:val="21"/>
                <w:szCs w:val="21"/>
                <w:highlight w:val="none"/>
                <w:u w:val="single"/>
                <w:lang w:eastAsia="zh-CN"/>
              </w:rPr>
              <w:t>的</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eastAsia="zh-CN"/>
              </w:rPr>
              <w:t>按</w:t>
            </w:r>
            <w:r>
              <w:rPr>
                <w:rFonts w:hint="eastAsia" w:asciiTheme="minorEastAsia" w:hAnsiTheme="minorEastAsia" w:eastAsiaTheme="minorEastAsia" w:cstheme="minorEastAsia"/>
                <w:color w:val="auto"/>
                <w:sz w:val="21"/>
                <w:szCs w:val="21"/>
                <w:highlight w:val="none"/>
                <w:u w:val="single"/>
                <w:lang w:val="en-US" w:eastAsia="zh-CN"/>
              </w:rPr>
              <w:t>照</w:t>
            </w:r>
            <w:r>
              <w:rPr>
                <w:rFonts w:hint="eastAsia" w:asciiTheme="minorEastAsia" w:hAnsiTheme="minorEastAsia" w:eastAsiaTheme="minorEastAsia" w:cstheme="minorEastAsia"/>
                <w:color w:val="auto"/>
                <w:sz w:val="21"/>
                <w:szCs w:val="21"/>
                <w:highlight w:val="none"/>
                <w:u w:val="single"/>
              </w:rPr>
              <w:t>最后报价由低到高</w:t>
            </w:r>
            <w:r>
              <w:rPr>
                <w:rFonts w:hint="eastAsia" w:asciiTheme="minorEastAsia" w:hAnsiTheme="minorEastAsia" w:eastAsiaTheme="minorEastAsia" w:cstheme="minorEastAsia"/>
                <w:color w:val="auto"/>
                <w:sz w:val="21"/>
                <w:szCs w:val="21"/>
                <w:highlight w:val="none"/>
                <w:u w:val="single"/>
                <w:lang w:val="en-US" w:eastAsia="zh-CN"/>
              </w:rPr>
              <w:t>的</w:t>
            </w:r>
            <w:r>
              <w:rPr>
                <w:rFonts w:hint="eastAsia" w:asciiTheme="minorEastAsia" w:hAnsiTheme="minorEastAsia" w:eastAsiaTheme="minorEastAsia" w:cstheme="minorEastAsia"/>
                <w:color w:val="auto"/>
                <w:sz w:val="21"/>
                <w:szCs w:val="21"/>
                <w:highlight w:val="none"/>
                <w:u w:val="single"/>
              </w:rPr>
              <w:t>顺序排列；</w:t>
            </w:r>
            <w:r>
              <w:rPr>
                <w:rFonts w:hint="eastAsia" w:asciiTheme="minorEastAsia" w:hAnsiTheme="minorEastAsia" w:eastAsiaTheme="minorEastAsia" w:cstheme="minorEastAsia"/>
                <w:color w:val="auto"/>
                <w:sz w:val="21"/>
                <w:szCs w:val="21"/>
                <w:highlight w:val="none"/>
                <w:lang w:val="en-US" w:eastAsia="zh-CN"/>
              </w:rPr>
              <w:t>评审得分</w:t>
            </w:r>
            <w:r>
              <w:rPr>
                <w:rFonts w:hint="eastAsia" w:asciiTheme="minorEastAsia" w:hAnsiTheme="minorEastAsia" w:eastAsiaTheme="minorEastAsia" w:cstheme="minorEastAsia"/>
                <w:color w:val="auto"/>
                <w:sz w:val="21"/>
                <w:szCs w:val="21"/>
                <w:highlight w:val="none"/>
                <w:u w:val="single"/>
              </w:rPr>
              <w:t>且</w:t>
            </w:r>
            <w:r>
              <w:rPr>
                <w:rFonts w:hint="eastAsia" w:asciiTheme="minorEastAsia" w:hAnsiTheme="minorEastAsia" w:eastAsiaTheme="minorEastAsia" w:cstheme="minorEastAsia"/>
                <w:color w:val="auto"/>
                <w:sz w:val="21"/>
                <w:szCs w:val="21"/>
                <w:highlight w:val="none"/>
                <w:u w:val="single"/>
                <w:lang w:val="en-US" w:eastAsia="zh-CN"/>
              </w:rPr>
              <w:t>最后</w:t>
            </w:r>
            <w:r>
              <w:rPr>
                <w:rFonts w:hint="eastAsia" w:asciiTheme="minorEastAsia" w:hAnsiTheme="minorEastAsia" w:eastAsiaTheme="minorEastAsia" w:cstheme="minorEastAsia"/>
                <w:color w:val="auto"/>
                <w:sz w:val="21"/>
                <w:szCs w:val="21"/>
                <w:highlight w:val="none"/>
                <w:u w:val="single"/>
              </w:rPr>
              <w:t>报价相同的，</w:t>
            </w:r>
            <w:r>
              <w:rPr>
                <w:rFonts w:hint="eastAsia" w:asciiTheme="minorEastAsia" w:hAnsiTheme="minorEastAsia" w:eastAsiaTheme="minorEastAsia" w:cstheme="minorEastAsia"/>
                <w:color w:val="auto"/>
                <w:sz w:val="21"/>
                <w:szCs w:val="21"/>
                <w:highlight w:val="none"/>
                <w:u w:val="single"/>
                <w:lang w:eastAsia="zh-CN"/>
              </w:rPr>
              <w:t>依次</w:t>
            </w:r>
            <w:r>
              <w:rPr>
                <w:rFonts w:hint="eastAsia" w:asciiTheme="minorEastAsia" w:hAnsiTheme="minorEastAsia" w:eastAsiaTheme="minorEastAsia" w:cstheme="minorEastAsia"/>
                <w:color w:val="auto"/>
                <w:sz w:val="21"/>
                <w:szCs w:val="21"/>
                <w:highlight w:val="none"/>
                <w:u w:val="single"/>
              </w:rPr>
              <w:t>按技术分由高到低、</w:t>
            </w:r>
            <w:r>
              <w:rPr>
                <w:rFonts w:hint="eastAsia" w:asciiTheme="minorEastAsia" w:hAnsiTheme="minorEastAsia" w:eastAsiaTheme="minorEastAsia" w:cstheme="minorEastAsia"/>
                <w:color w:val="auto"/>
                <w:sz w:val="21"/>
                <w:szCs w:val="21"/>
                <w:highlight w:val="none"/>
                <w:u w:val="single"/>
                <w:lang w:eastAsia="zh-CN"/>
              </w:rPr>
              <w:t>商务</w:t>
            </w:r>
            <w:r>
              <w:rPr>
                <w:rFonts w:hint="eastAsia" w:asciiTheme="minorEastAsia" w:hAnsiTheme="minorEastAsia" w:eastAsiaTheme="minorEastAsia" w:cstheme="minorEastAsia"/>
                <w:color w:val="auto"/>
                <w:sz w:val="21"/>
                <w:szCs w:val="21"/>
                <w:highlight w:val="none"/>
                <w:u w:val="single"/>
              </w:rPr>
              <w:t>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提供服务的时间、地点、方式、项目服务期限</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提供服务的时间：自合同签订之日起一年。</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提供服务的地点：</w:t>
            </w:r>
            <w:r>
              <w:rPr>
                <w:rFonts w:hint="eastAsia" w:asciiTheme="minorEastAsia" w:hAnsiTheme="minorEastAsia" w:eastAsiaTheme="minorEastAsia" w:cstheme="minorEastAsia"/>
                <w:color w:val="auto"/>
                <w:szCs w:val="21"/>
                <w:highlight w:val="none"/>
                <w:lang w:eastAsia="zh-CN"/>
              </w:rPr>
              <w:t>国家税务总局南宁市良庆区税务局</w:t>
            </w:r>
            <w:r>
              <w:rPr>
                <w:rFonts w:hint="eastAsia" w:asciiTheme="minorEastAsia" w:hAnsiTheme="minorEastAsia" w:eastAsiaTheme="minorEastAsia" w:cstheme="minorEastAsia"/>
                <w:color w:val="auto"/>
                <w:szCs w:val="21"/>
                <w:highlight w:val="none"/>
                <w:lang w:val="en-US" w:eastAsia="zh-CN"/>
              </w:rPr>
              <w:t>内</w:t>
            </w:r>
            <w:r>
              <w:rPr>
                <w:rFonts w:hint="eastAsia" w:asciiTheme="minorEastAsia" w:hAnsiTheme="minorEastAsia" w:eastAsiaTheme="minorEastAsia" w:cstheme="minorEastAsia"/>
                <w:color w:val="auto"/>
                <w:szCs w:val="21"/>
                <w:highlight w:val="none"/>
              </w:rPr>
              <w:t>采购人指定地点</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提供服务的方式：</w:t>
            </w:r>
            <w:r>
              <w:rPr>
                <w:rFonts w:hint="eastAsia" w:asciiTheme="minorEastAsia" w:hAnsiTheme="minorEastAsia" w:eastAsiaTheme="minorEastAsia" w:cstheme="minorEastAsia"/>
                <w:color w:val="auto"/>
                <w:szCs w:val="21"/>
                <w:highlight w:val="none"/>
                <w:lang w:val="en-US" w:eastAsia="zh-CN"/>
              </w:rPr>
              <w:t>详见《项目采购需求》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项目服务期限：自合同签订之日起一年。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21</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采购资金的支付方式和时间</w:t>
            </w:r>
          </w:p>
        </w:tc>
        <w:tc>
          <w:tcPr>
            <w:tcW w:w="6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本项目采用工作目标结算方式。项目实施中双方协商制定工作目标→成交人实施并提交拍摄素材、成品→采购人验收→交付项目进度款。即在项目实施过程中，将项目拆分成不同的具体工作目标和验收单元，以采购人验收目标单元作为支付项目款项的前提条件。成交人每完成一项具体的工作目标，采购人就要开展相关验收，并结算价款。结算时按实际完成的具体目标，结合合同中的项目总价为依据结算。项目的目标拆分和验收单元等由双方协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22</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履约保证金</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不要求提供</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要求提供，履约保证金的数额不得超过</w:t>
            </w:r>
            <w:r>
              <w:rPr>
                <w:rFonts w:hint="eastAsia" w:asciiTheme="minorEastAsia" w:hAnsiTheme="minorEastAsia" w:eastAsiaTheme="minorEastAsia" w:cstheme="minorEastAsia"/>
                <w:color w:val="auto"/>
                <w:sz w:val="21"/>
                <w:szCs w:val="21"/>
                <w:highlight w:val="none"/>
                <w:lang w:eastAsia="zh-CN"/>
              </w:rPr>
              <w:t>合同</w:t>
            </w:r>
            <w:r>
              <w:rPr>
                <w:rFonts w:hint="eastAsia" w:asciiTheme="minorEastAsia" w:hAnsiTheme="minorEastAsia" w:eastAsiaTheme="minorEastAsia" w:cstheme="minorEastAsia"/>
                <w:color w:val="auto"/>
                <w:sz w:val="21"/>
                <w:szCs w:val="21"/>
                <w:highlight w:val="none"/>
              </w:rPr>
              <w:t>金额的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%，本项目履约保证金为合同金额</w:t>
            </w:r>
            <w:r>
              <w:rPr>
                <w:rFonts w:hint="eastAsia" w:asciiTheme="minorEastAsia" w:hAnsiTheme="minorEastAsia" w:eastAsiaTheme="minorEastAsia" w:cstheme="minorEastAsia"/>
                <w:color w:val="auto"/>
                <w:sz w:val="21"/>
                <w:szCs w:val="21"/>
                <w:highlight w:val="none"/>
                <w:lang w:val="en-US" w:eastAsia="zh-CN"/>
              </w:rPr>
              <w:t>中第一部分</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%（取整到元），</w:t>
            </w:r>
            <w:r>
              <w:rPr>
                <w:rFonts w:hint="eastAsia" w:asciiTheme="minorEastAsia" w:hAnsiTheme="minorEastAsia" w:eastAsiaTheme="minorEastAsia" w:cstheme="minorEastAsia"/>
                <w:bCs/>
                <w:color w:val="auto"/>
                <w:kern w:val="2"/>
                <w:sz w:val="21"/>
                <w:szCs w:val="21"/>
                <w:highlight w:val="none"/>
                <w:lang w:val="en-US" w:eastAsia="zh-CN" w:bidi="ar-SA"/>
              </w:rPr>
              <w:t>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keepNext w:val="0"/>
              <w:keepLines w:val="0"/>
              <w:pageBreakBefore w:val="0"/>
              <w:widowControl w:val="0"/>
              <w:kinsoku/>
              <w:wordWrap/>
              <w:overflowPunct/>
              <w:topLinePunct w:val="0"/>
              <w:bidi w:val="0"/>
              <w:adjustRightInd/>
              <w:spacing w:line="400" w:lineRule="exact"/>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收款人户名：</w:t>
            </w:r>
          </w:p>
          <w:p>
            <w:pPr>
              <w:keepNext w:val="0"/>
              <w:keepLines w:val="0"/>
              <w:pageBreakBefore w:val="0"/>
              <w:widowControl w:val="0"/>
              <w:kinsoku/>
              <w:wordWrap/>
              <w:overflowPunct/>
              <w:topLinePunct w:val="0"/>
              <w:bidi w:val="0"/>
              <w:adjustRightInd/>
              <w:spacing w:line="40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spacing w:line="400" w:lineRule="exact"/>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23</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kern w:val="0"/>
                <w:szCs w:val="21"/>
                <w:highlight w:val="none"/>
              </w:rPr>
              <w:t>费</w:t>
            </w:r>
          </w:p>
        </w:tc>
        <w:tc>
          <w:tcPr>
            <w:tcW w:w="6047" w:type="dxa"/>
            <w:vAlign w:val="center"/>
          </w:tcPr>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（1）</w:t>
            </w:r>
            <w:r>
              <w:rPr>
                <w:rFonts w:hint="eastAsia"/>
                <w:color w:val="auto"/>
                <w:highlight w:val="none"/>
                <w:lang w:eastAsia="zh-CN"/>
              </w:rPr>
              <w:t>采购代理</w:t>
            </w:r>
            <w:r>
              <w:rPr>
                <w:rFonts w:hint="eastAsia"/>
                <w:color w:val="auto"/>
                <w:highlight w:val="none"/>
                <w:lang w:val="en-US" w:eastAsia="zh-CN"/>
              </w:rPr>
              <w:t>服务</w:t>
            </w:r>
            <w:r>
              <w:rPr>
                <w:rFonts w:hint="eastAsia"/>
                <w:color w:val="auto"/>
                <w:highlight w:val="none"/>
                <w:lang w:eastAsia="zh-CN"/>
              </w:rPr>
              <w:t>费</w:t>
            </w:r>
            <w:r>
              <w:rPr>
                <w:rFonts w:hint="eastAsia"/>
                <w:color w:val="auto"/>
                <w:highlight w:val="none"/>
              </w:rPr>
              <w:t>收费标准：</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按国家发展计划委员会计价格〔2002〕1980号《招标代理服务费管理暂行办法》收费标准及发改价格〔2011〕534号文的规定的基准价下浮20%收取，向成交供应商收取代理服务费用（以下费率未下浮20%）。</w:t>
            </w:r>
          </w:p>
          <w:tbl>
            <w:tblPr>
              <w:tblStyle w:val="42"/>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054" w:type="dxa"/>
                  <w:tcBorders>
                    <w:tl2br w:val="single" w:color="auto" w:sz="4" w:space="0"/>
                  </w:tcBorders>
                </w:tcPr>
                <w:p>
                  <w:pPr>
                    <w:keepNext w:val="0"/>
                    <w:keepLines w:val="0"/>
                    <w:pageBreakBefore w:val="0"/>
                    <w:widowControl w:val="0"/>
                    <w:kinsoku/>
                    <w:wordWrap/>
                    <w:overflowPunct/>
                    <w:topLinePunct w:val="0"/>
                    <w:bidi w:val="0"/>
                    <w:adjustRightInd/>
                    <w:spacing w:line="380" w:lineRule="exact"/>
                    <w:ind w:left="1365" w:hanging="1365" w:hangingChars="650"/>
                    <w:rPr>
                      <w:rFonts w:hint="eastAsia"/>
                      <w:color w:val="auto"/>
                      <w:highlight w:val="none"/>
                    </w:rPr>
                  </w:pPr>
                  <w:r>
                    <w:rPr>
                      <w:rFonts w:hint="eastAsia"/>
                      <w:color w:val="auto"/>
                      <w:highlight w:val="none"/>
                    </w:rPr>
                    <w:t xml:space="preserve">            费率</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lang w:eastAsia="zh-CN"/>
                    </w:rPr>
                    <w:t>成交</w:t>
                  </w:r>
                  <w:r>
                    <w:rPr>
                      <w:rFonts w:hint="eastAsia"/>
                      <w:color w:val="auto"/>
                      <w:highlight w:val="none"/>
                    </w:rPr>
                    <w:t>金额</w:t>
                  </w:r>
                </w:p>
              </w:tc>
              <w:tc>
                <w:tcPr>
                  <w:tcW w:w="915" w:type="dxa"/>
                  <w:vAlign w:val="center"/>
                </w:tcPr>
                <w:p>
                  <w:pPr>
                    <w:keepNext w:val="0"/>
                    <w:keepLines w:val="0"/>
                    <w:pageBreakBefore w:val="0"/>
                    <w:widowControl w:val="0"/>
                    <w:kinsoku/>
                    <w:wordWrap/>
                    <w:overflowPunct/>
                    <w:topLinePunct w:val="0"/>
                    <w:bidi w:val="0"/>
                    <w:adjustRightInd/>
                    <w:spacing w:line="380" w:lineRule="exact"/>
                    <w:ind w:firstLine="105" w:firstLineChars="50"/>
                    <w:jc w:val="center"/>
                    <w:rPr>
                      <w:rFonts w:hint="eastAsia"/>
                      <w:color w:val="auto"/>
                      <w:highlight w:val="none"/>
                      <w:lang w:eastAsia="zh-CN"/>
                    </w:rPr>
                  </w:pPr>
                  <w:r>
                    <w:rPr>
                      <w:rFonts w:hint="eastAsia"/>
                      <w:color w:val="auto"/>
                      <w:highlight w:val="none"/>
                    </w:rPr>
                    <w:t>货物</w:t>
                  </w:r>
                  <w:r>
                    <w:rPr>
                      <w:rFonts w:hint="eastAsia"/>
                      <w:color w:val="auto"/>
                      <w:highlight w:val="none"/>
                      <w:lang w:eastAsia="zh-CN"/>
                    </w:rPr>
                    <w:t>采购</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服务</w:t>
                  </w:r>
                  <w:r>
                    <w:rPr>
                      <w:rFonts w:hint="eastAsia"/>
                      <w:color w:val="auto"/>
                      <w:highlight w:val="none"/>
                      <w:lang w:eastAsia="zh-CN"/>
                    </w:rPr>
                    <w:t>采购</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工程</w:t>
                  </w:r>
                  <w:r>
                    <w:rPr>
                      <w:rFonts w:hint="eastAsia"/>
                      <w:color w:val="auto"/>
                      <w:highlight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100万元以下</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100～500万元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1.1%</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0.8%</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500～1000万元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0.8%</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0.45%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1000～5000万元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0.25%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5000万元～1亿元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0.25%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0.1%</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1～5亿元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0.05%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5～10亿元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0.035%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0.035%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highlight w:val="none"/>
                    </w:rPr>
                  </w:pPr>
                  <w:r>
                    <w:rPr>
                      <w:rFonts w:hint="eastAsia"/>
                      <w:color w:val="auto"/>
                      <w:highlight w:val="none"/>
                    </w:rPr>
                    <w:t>0.035%</w:t>
                  </w:r>
                </w:p>
              </w:tc>
            </w:tr>
          </w:tbl>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注：</w:t>
            </w:r>
            <w:r>
              <w:rPr>
                <w:rFonts w:hint="eastAsia"/>
                <w:color w:val="auto"/>
                <w:highlight w:val="none"/>
                <w:lang w:eastAsia="zh-CN"/>
              </w:rPr>
              <w:t>采购代理费</w:t>
            </w:r>
            <w:r>
              <w:rPr>
                <w:rFonts w:hint="eastAsia"/>
                <w:color w:val="auto"/>
                <w:highlight w:val="none"/>
              </w:rPr>
              <w:t>收费按差额定率累进法计算。例如：某工程招标代理业务</w:t>
            </w:r>
            <w:r>
              <w:rPr>
                <w:rFonts w:hint="eastAsia"/>
                <w:color w:val="auto"/>
                <w:highlight w:val="none"/>
                <w:lang w:eastAsia="zh-CN"/>
              </w:rPr>
              <w:t>成交</w:t>
            </w:r>
            <w:r>
              <w:rPr>
                <w:rFonts w:hint="eastAsia"/>
                <w:color w:val="auto"/>
                <w:highlight w:val="none"/>
              </w:rPr>
              <w:t>金额为6000万元，计算</w:t>
            </w:r>
            <w:r>
              <w:rPr>
                <w:rFonts w:hint="eastAsia"/>
                <w:color w:val="auto"/>
                <w:highlight w:val="none"/>
                <w:lang w:eastAsia="zh-CN"/>
              </w:rPr>
              <w:t>采购代理费</w:t>
            </w:r>
            <w:r>
              <w:rPr>
                <w:rFonts w:hint="eastAsia"/>
                <w:color w:val="auto"/>
                <w:highlight w:val="none"/>
              </w:rPr>
              <w:t>收费额如下：</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100万元×1.0%=1万元</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（500-100）万元×0.7%=2.8万元</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（1000-500）万元×0.55%=2.75万元</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（5000-1000）万元×0.35%=14万元</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（6000-5000）万元×0.2%=2万元</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合计收费=1+2.8+2.75+14+2=22.55（万元）</w:t>
            </w:r>
          </w:p>
          <w:p>
            <w:pPr>
              <w:keepNext w:val="0"/>
              <w:keepLines w:val="0"/>
              <w:pageBreakBefore w:val="0"/>
              <w:widowControl w:val="0"/>
              <w:kinsoku/>
              <w:wordWrap/>
              <w:overflowPunct/>
              <w:topLinePunct w:val="0"/>
              <w:bidi w:val="0"/>
              <w:adjustRightInd/>
              <w:spacing w:line="380" w:lineRule="exact"/>
              <w:rPr>
                <w:rFonts w:hint="eastAsia"/>
                <w:color w:val="auto"/>
                <w:highlight w:val="none"/>
              </w:rPr>
            </w:pPr>
            <w:r>
              <w:rPr>
                <w:rFonts w:hint="eastAsia"/>
                <w:color w:val="auto"/>
                <w:highlight w:val="none"/>
              </w:rPr>
              <w:t>（2）</w:t>
            </w:r>
            <w:r>
              <w:rPr>
                <w:rFonts w:hint="eastAsia"/>
                <w:color w:val="auto"/>
                <w:highlight w:val="none"/>
                <w:lang w:eastAsia="zh-CN"/>
              </w:rPr>
              <w:t>采购代理费</w:t>
            </w:r>
            <w:r>
              <w:rPr>
                <w:rFonts w:hint="eastAsia"/>
                <w:color w:val="auto"/>
                <w:highlight w:val="none"/>
              </w:rPr>
              <w:t>汇到如下指定账户：</w:t>
            </w:r>
          </w:p>
          <w:p>
            <w:pPr>
              <w:keepNext w:val="0"/>
              <w:keepLines w:val="0"/>
              <w:pageBreakBefore w:val="0"/>
              <w:widowControl w:val="0"/>
              <w:kinsoku/>
              <w:wordWrap/>
              <w:overflowPunct/>
              <w:topLinePunct w:val="0"/>
              <w:bidi w:val="0"/>
              <w:adjustRightInd/>
              <w:spacing w:line="380" w:lineRule="exact"/>
              <w:jc w:val="left"/>
              <w:rPr>
                <w:rFonts w:hint="eastAsia"/>
                <w:color w:val="auto"/>
                <w:highlight w:val="none"/>
              </w:rPr>
            </w:pPr>
            <w:r>
              <w:rPr>
                <w:rFonts w:hint="eastAsia"/>
                <w:color w:val="auto"/>
                <w:highlight w:val="none"/>
              </w:rPr>
              <w:t>开户名称：广西科联招标中心有限公司</w:t>
            </w:r>
          </w:p>
          <w:p>
            <w:pPr>
              <w:keepNext w:val="0"/>
              <w:keepLines w:val="0"/>
              <w:pageBreakBefore w:val="0"/>
              <w:widowControl w:val="0"/>
              <w:kinsoku/>
              <w:wordWrap/>
              <w:overflowPunct/>
              <w:topLinePunct w:val="0"/>
              <w:bidi w:val="0"/>
              <w:adjustRightInd/>
              <w:spacing w:line="380" w:lineRule="exact"/>
              <w:jc w:val="left"/>
              <w:rPr>
                <w:rFonts w:hint="eastAsia"/>
                <w:color w:val="auto"/>
                <w:highlight w:val="none"/>
              </w:rPr>
            </w:pPr>
            <w:r>
              <w:rPr>
                <w:rFonts w:hint="eastAsia"/>
                <w:color w:val="auto"/>
                <w:highlight w:val="none"/>
              </w:rPr>
              <w:t>开户银行：中国工商银行南宁高新科技支行</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b/>
                <w:color w:val="auto"/>
                <w:kern w:val="0"/>
                <w:szCs w:val="21"/>
                <w:highlight w:val="none"/>
              </w:rPr>
            </w:pPr>
            <w:r>
              <w:rPr>
                <w:rFonts w:hint="eastAsia"/>
                <w:color w:val="auto"/>
                <w:highlight w:val="none"/>
              </w:rPr>
              <w:t>银行账号：2102111229300032105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24</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专用章、业务专用章等其它形式印章均不能代替公章。</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2、本磋商文件中描述供应商的“签字”是指供应商的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或被授权人亲自在磋商文件规定签署处亲笔写上个人的名字的行为，私章、签字章、印鉴、影印等其它形式均不能代替亲笔签字。</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成交供应商享受中小企业扶持政策的，采购人、采购代理机构应当随成交结果公开成交供应商的《中小企业声明函》。</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成交供应商为残疾人福利性单位的，采购人或者其委托的采购代理机构应当随成交结果同时公告其《残疾人福利性单位声明函》，接受社会监督。</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、递交质疑函的联系事项：</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广西科联招标中心有限公司（采购代理机构）三楼30</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室</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联系电话：0771-3486228 </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地址：广西南宁市大学东路170号</w:t>
            </w:r>
          </w:p>
        </w:tc>
      </w:tr>
    </w:tbl>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8"/>
          <w:szCs w:val="21"/>
          <w:highlight w:val="none"/>
        </w:rPr>
      </w:pPr>
      <w:r>
        <w:rPr>
          <w:rFonts w:hint="eastAsia" w:asciiTheme="minorEastAsia" w:hAnsiTheme="minorEastAsia" w:eastAsiaTheme="minorEastAsia" w:cstheme="minorEastAsia"/>
          <w:b/>
          <w:bCs/>
          <w:color w:val="auto"/>
          <w:kern w:val="0"/>
          <w:sz w:val="28"/>
          <w:szCs w:val="21"/>
          <w:highlight w:val="none"/>
        </w:rPr>
        <w:br w:type="page"/>
      </w:r>
      <w:r>
        <w:rPr>
          <w:rFonts w:hint="eastAsia" w:asciiTheme="minorEastAsia" w:hAnsiTheme="minorEastAsia" w:eastAsiaTheme="minorEastAsia" w:cstheme="minorEastAsia"/>
          <w:b/>
          <w:bCs/>
          <w:color w:val="auto"/>
          <w:kern w:val="0"/>
          <w:sz w:val="28"/>
          <w:szCs w:val="21"/>
          <w:highlight w:val="none"/>
        </w:rPr>
        <w:t>磋商须知正文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1.定义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“采购人”是指依法进行</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的国家机关、事业单位、团体组织。本次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的采购人名称、地址、电话、联系人见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“采购代理机构”是指接受采购人委托，代理采购项目的集中采购机构和其他采购代理机构。本次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的采购代理机构名称、地址、电话、联系人见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　“供应商”是指响应磋商文件要求</w:t>
      </w:r>
      <w:r>
        <w:rPr>
          <w:rFonts w:hint="eastAsia" w:ascii="Times New Roman" w:hAnsi="Times New Roman"/>
          <w:color w:val="auto"/>
          <w:highlight w:val="none"/>
        </w:rPr>
        <w:t>并且符合</w:t>
      </w:r>
      <w:r>
        <w:rPr>
          <w:rFonts w:hint="eastAsia" w:asciiTheme="minorEastAsia" w:hAnsiTheme="minorEastAsia" w:eastAsiaTheme="minorEastAsia" w:cstheme="minorEastAsia"/>
          <w:color w:val="auto"/>
          <w:kern w:val="0"/>
          <w:szCs w:val="21"/>
          <w:highlight w:val="none"/>
        </w:rPr>
        <w:t>磋商文件</w:t>
      </w:r>
      <w:r>
        <w:rPr>
          <w:rFonts w:hint="eastAsia" w:ascii="Times New Roman" w:hAnsi="Times New Roman"/>
          <w:color w:val="auto"/>
          <w:highlight w:val="none"/>
        </w:rPr>
        <w:t>规定资格条件</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rPr>
        <w:t>参加磋商采购的法人、其他组织或者自然人。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　“磋商小组”</w:t>
      </w:r>
      <w:r>
        <w:rPr>
          <w:rFonts w:hint="eastAsia" w:asciiTheme="minorEastAsia" w:hAnsiTheme="minorEastAsia" w:eastAsiaTheme="minorEastAsia" w:cstheme="minorEastAsia"/>
          <w:color w:val="auto"/>
          <w:kern w:val="0"/>
          <w:szCs w:val="21"/>
          <w:highlight w:val="none"/>
          <w:lang w:eastAsia="zh-CN"/>
        </w:rPr>
        <w:t>由</w:t>
      </w:r>
      <w:r>
        <w:rPr>
          <w:rFonts w:hint="eastAsia" w:asciiTheme="minorEastAsia" w:hAnsiTheme="minorEastAsia" w:eastAsiaTheme="minorEastAsia" w:cstheme="minorEastAsia"/>
          <w:color w:val="auto"/>
          <w:kern w:val="0"/>
          <w:szCs w:val="21"/>
          <w:highlight w:val="none"/>
        </w:rPr>
        <w:t>3人以上单数的磋商成员</w:t>
      </w:r>
      <w:r>
        <w:rPr>
          <w:rFonts w:hint="eastAsia" w:asciiTheme="minorEastAsia" w:hAnsiTheme="minorEastAsia" w:eastAsiaTheme="minorEastAsia" w:cstheme="minorEastAsia"/>
          <w:color w:val="auto"/>
          <w:kern w:val="0"/>
          <w:szCs w:val="21"/>
          <w:highlight w:val="none"/>
          <w:lang w:eastAsia="zh-CN"/>
        </w:rPr>
        <w:t>组建</w:t>
      </w:r>
      <w:r>
        <w:rPr>
          <w:rFonts w:hint="eastAsia" w:ascii="Times New Roman" w:hAnsi="Times New Roman" w:cs="MingLiU_HKSCS"/>
          <w:color w:val="auto"/>
          <w:highlight w:val="none"/>
        </w:rPr>
        <w:t>，</w:t>
      </w:r>
      <w:r>
        <w:rPr>
          <w:rFonts w:hint="eastAsia" w:ascii="Times New Roman" w:cs="MingLiU_HKSCS"/>
          <w:color w:val="auto"/>
          <w:highlight w:val="none"/>
          <w:lang w:val="en-US" w:eastAsia="zh-CN"/>
        </w:rPr>
        <w:t>是</w:t>
      </w:r>
      <w:r>
        <w:rPr>
          <w:rFonts w:hint="eastAsia" w:ascii="Times New Roman" w:hAnsi="Times New Roman"/>
          <w:color w:val="auto"/>
          <w:highlight w:val="none"/>
        </w:rPr>
        <w:t>依法履行评审采购活动职责的评审成员。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“货物”是指各种形态和种类的物品，包括原材料、燃料、设备、产品等。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“服务”是指除货物和工程以外的其他</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对象。</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2.采购项目预算</w:t>
      </w:r>
      <w:r>
        <w:rPr>
          <w:rFonts w:hint="eastAsia" w:asciiTheme="minorEastAsia" w:hAnsiTheme="minorEastAsia" w:eastAsiaTheme="minorEastAsia" w:cstheme="minorEastAsia"/>
          <w:color w:val="auto"/>
          <w:kern w:val="0"/>
          <w:szCs w:val="21"/>
          <w:highlight w:val="none"/>
          <w:lang w:eastAsia="zh-CN"/>
        </w:rPr>
        <w:t>及最高限价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本项目采购资金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预算金额见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pStyle w:val="2"/>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 xml:space="preserve">2.2  </w:t>
      </w:r>
      <w:r>
        <w:rPr>
          <w:rFonts w:hint="eastAsia" w:ascii="Times New Roman" w:hAnsi="Times New Roman"/>
          <w:color w:val="auto"/>
          <w:highlight w:val="none"/>
        </w:rPr>
        <w:t>本项目最高限价要求见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★3.供应商的资格要求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供应商应当符合</w:t>
      </w:r>
      <w:r>
        <w:rPr>
          <w:rFonts w:hint="eastAsia" w:asciiTheme="minorEastAsia" w:hAnsiTheme="minorEastAsia" w:eastAsiaTheme="minorEastAsia" w:cstheme="minorEastAsia"/>
          <w:b/>
          <w:bCs/>
          <w:color w:val="auto"/>
          <w:szCs w:val="21"/>
          <w:highlight w:val="none"/>
        </w:rPr>
        <w:t>磋商须知前附表</w:t>
      </w:r>
      <w:r>
        <w:rPr>
          <w:rFonts w:hint="eastAsia" w:asciiTheme="minorEastAsia" w:hAnsiTheme="minorEastAsia" w:eastAsiaTheme="minorEastAsia" w:cstheme="minorEastAsia"/>
          <w:color w:val="auto"/>
          <w:szCs w:val="21"/>
          <w:highlight w:val="none"/>
        </w:rPr>
        <w:t>中规定的下列资格条件要求：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　</w:t>
      </w:r>
      <w:r>
        <w:rPr>
          <w:rFonts w:hint="eastAsia"/>
          <w:color w:val="auto"/>
          <w:highlight w:val="none"/>
        </w:rPr>
        <w:t>供应商参加本采购活动应当具备下列条件</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(1)具有独立承担民事责任的能力；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(2)具有良好的商业信誉和健全的财务会计制度；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(3)具有履行合同所必需的设备和专业技术能力；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(4)有依法缴纳税收和社会保障资金的良好记录；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(5)参加采购活动前三年内在经营活动中没有重大违法记录；</w:t>
      </w:r>
    </w:p>
    <w:p>
      <w:pPr>
        <w:spacing w:line="360" w:lineRule="auto"/>
        <w:ind w:firstLine="420" w:firstLine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bCs/>
          <w:color w:val="auto"/>
          <w:szCs w:val="21"/>
          <w:highlight w:val="none"/>
          <w:lang w:eastAsia="zh-CN"/>
        </w:rPr>
        <w:t>法律、行政法规规定的其他条件。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其他特定资格条件。(详见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　供应商存在下列情形之一的不得参加磋商：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单位负责人为同一人或者存在直接控股、管理关系的不同供应商，不得参加同一合同项下的</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活动。为采购项目提供整体设计、规范编制或者项目管理、监理、检测等服务的供应商，不得再参加该采购项目的其他采购活动。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4.参与磋商的费用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　供应商应自行承担所有</w:t>
      </w:r>
      <w:r>
        <w:rPr>
          <w:rFonts w:hint="eastAsia" w:asciiTheme="minorEastAsia" w:hAnsiTheme="minorEastAsia" w:eastAsiaTheme="minorEastAsia" w:cstheme="minorEastAsia"/>
          <w:color w:val="auto"/>
          <w:kern w:val="0"/>
          <w:szCs w:val="21"/>
          <w:highlight w:val="none"/>
          <w:lang w:eastAsia="zh-CN"/>
        </w:rPr>
        <w:t>参与</w:t>
      </w:r>
      <w:r>
        <w:rPr>
          <w:rFonts w:hint="eastAsia" w:asciiTheme="minorEastAsia" w:hAnsiTheme="minorEastAsia" w:eastAsiaTheme="minorEastAsia" w:cstheme="minorEastAsia"/>
          <w:color w:val="auto"/>
          <w:kern w:val="0"/>
          <w:szCs w:val="21"/>
          <w:highlight w:val="none"/>
        </w:rPr>
        <w:t>磋商的</w:t>
      </w:r>
      <w:r>
        <w:rPr>
          <w:rFonts w:hint="eastAsia" w:asciiTheme="minorEastAsia" w:hAnsiTheme="minorEastAsia" w:eastAsiaTheme="minorEastAsia" w:cstheme="minorEastAsia"/>
          <w:color w:val="auto"/>
          <w:kern w:val="0"/>
          <w:szCs w:val="21"/>
          <w:highlight w:val="none"/>
          <w:lang w:eastAsia="zh-CN"/>
        </w:rPr>
        <w:t>相关</w:t>
      </w:r>
      <w:r>
        <w:rPr>
          <w:rFonts w:hint="eastAsia" w:asciiTheme="minorEastAsia" w:hAnsiTheme="minorEastAsia" w:eastAsiaTheme="minorEastAsia" w:cstheme="minorEastAsia"/>
          <w:color w:val="auto"/>
          <w:kern w:val="0"/>
          <w:szCs w:val="21"/>
          <w:highlight w:val="none"/>
        </w:rPr>
        <w:t>费用</w:t>
      </w:r>
      <w:r>
        <w:rPr>
          <w:rFonts w:hint="eastAsia" w:asciiTheme="minorEastAsia" w:hAnsiTheme="minorEastAsia" w:eastAsiaTheme="minorEastAsia" w:cstheme="minorEastAsia"/>
          <w:color w:val="auto"/>
          <w:kern w:val="0"/>
          <w:szCs w:val="21"/>
          <w:highlight w:val="none"/>
          <w:lang w:eastAsia="zh-CN"/>
        </w:rPr>
        <w:t>，不论磋商的结果如何，采购人或采购代理机构均无义务和责任承担这些费用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5.授权委托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供应商代表不是供应商</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的，应</w:t>
      </w:r>
      <w:r>
        <w:rPr>
          <w:rFonts w:hint="eastAsia" w:asciiTheme="minorEastAsia" w:hAnsiTheme="minorEastAsia" w:eastAsiaTheme="minorEastAsia" w:cstheme="minorEastAsia"/>
          <w:color w:val="auto"/>
          <w:kern w:val="0"/>
          <w:szCs w:val="21"/>
          <w:highlight w:val="none"/>
          <w:lang w:eastAsia="zh-CN"/>
        </w:rPr>
        <w:t>当</w:t>
      </w:r>
      <w:r>
        <w:rPr>
          <w:rFonts w:hint="eastAsia" w:asciiTheme="minorEastAsia" w:hAnsiTheme="minorEastAsia" w:eastAsiaTheme="minorEastAsia" w:cstheme="minorEastAsia"/>
          <w:color w:val="auto"/>
          <w:kern w:val="0"/>
          <w:szCs w:val="21"/>
          <w:highlight w:val="none"/>
        </w:rPr>
        <w:t>持有</w:t>
      </w:r>
      <w:r>
        <w:rPr>
          <w:rFonts w:hint="eastAsia" w:asciiTheme="minorEastAsia" w:hAnsiTheme="minorEastAsia" w:eastAsiaTheme="minorEastAsia" w:cstheme="minorEastAsia"/>
          <w:color w:val="auto"/>
          <w:kern w:val="0"/>
          <w:szCs w:val="21"/>
          <w:highlight w:val="none"/>
          <w:lang w:eastAsia="zh-CN"/>
        </w:rPr>
        <w:t>法定代表人（负责人）身份证复印件和授权</w:t>
      </w:r>
      <w:r>
        <w:rPr>
          <w:rFonts w:hint="eastAsia" w:asciiTheme="minorEastAsia" w:hAnsiTheme="minorEastAsia" w:eastAsiaTheme="minorEastAsia" w:cstheme="minorEastAsia"/>
          <w:color w:val="auto"/>
          <w:kern w:val="0"/>
          <w:szCs w:val="21"/>
          <w:highlight w:val="none"/>
        </w:rPr>
        <w:t>授权书，</w:t>
      </w:r>
      <w:r>
        <w:rPr>
          <w:rFonts w:hint="eastAsia" w:asciiTheme="minorEastAsia" w:hAnsiTheme="minorEastAsia" w:eastAsiaTheme="minorEastAsia" w:cstheme="minorEastAsia"/>
          <w:color w:val="auto"/>
          <w:kern w:val="0"/>
          <w:szCs w:val="21"/>
          <w:highlight w:val="none"/>
          <w:lang w:eastAsia="zh-CN"/>
        </w:rPr>
        <w:t>同时提供供应商代表的身份证原件及复印件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6.联合体</w:t>
      </w:r>
      <w:r>
        <w:rPr>
          <w:rFonts w:hint="eastAsia" w:asciiTheme="minorEastAsia" w:hAnsiTheme="minorEastAsia" w:eastAsiaTheme="minorEastAsia" w:cstheme="minorEastAsia"/>
          <w:color w:val="auto"/>
          <w:kern w:val="0"/>
          <w:szCs w:val="21"/>
          <w:highlight w:val="none"/>
          <w:lang w:val="en-US" w:eastAsia="zh-CN"/>
        </w:rPr>
        <w:t>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本项目是否接受联合体</w:t>
      </w:r>
      <w:r>
        <w:rPr>
          <w:rFonts w:hint="eastAsia" w:asciiTheme="minorEastAsia" w:hAnsiTheme="minorEastAsia" w:eastAsiaTheme="minorEastAsia" w:cstheme="minorEastAsia"/>
          <w:color w:val="auto"/>
          <w:kern w:val="0"/>
          <w:szCs w:val="21"/>
          <w:highlight w:val="none"/>
          <w:lang w:val="en-US" w:eastAsia="zh-CN"/>
        </w:rPr>
        <w:t>形式</w:t>
      </w:r>
      <w:r>
        <w:rPr>
          <w:rFonts w:hint="eastAsia" w:asciiTheme="minorEastAsia" w:hAnsiTheme="minorEastAsia" w:eastAsiaTheme="minorEastAsia" w:cstheme="minorEastAsia"/>
          <w:color w:val="auto"/>
          <w:kern w:val="0"/>
          <w:szCs w:val="21"/>
          <w:highlight w:val="none"/>
        </w:rPr>
        <w:t>参与及相关要求见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6.2　如果本项目接受联合体磋商的，应遵守以下规定：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(1)联合体各方必须签订联合体协议书，明确联合体牵头人和各方权利、义务及分工、合同工作量比例；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(2)联合体各方均应当符合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规定的供应商基本资格条件；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(3)除另有规定</w:t>
      </w:r>
      <w:r>
        <w:rPr>
          <w:rFonts w:hint="eastAsia" w:asciiTheme="minorEastAsia" w:hAnsiTheme="minorEastAsia" w:eastAsiaTheme="minorEastAsia" w:cstheme="minorEastAsia"/>
          <w:color w:val="auto"/>
          <w:kern w:val="0"/>
          <w:szCs w:val="21"/>
          <w:highlight w:val="none"/>
          <w:lang w:eastAsia="zh-CN"/>
        </w:rPr>
        <w:t>外</w:t>
      </w:r>
      <w:r>
        <w:rPr>
          <w:rFonts w:hint="eastAsia" w:asciiTheme="minorEastAsia" w:hAnsiTheme="minorEastAsia" w:eastAsiaTheme="minorEastAsia" w:cstheme="minorEastAsia"/>
          <w:color w:val="auto"/>
          <w:kern w:val="0"/>
          <w:szCs w:val="21"/>
          <w:highlight w:val="none"/>
        </w:rPr>
        <w:t>，联合体各方中至少有一方应当符合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规定的供应商特定资格条件；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(4)联合体中有同类资质的供应商按照联合体分工承担相同工作的，应当按照资质等级较低的供应商确定资质等级；</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(5)联合体各方不得再单独或与其他供应商组成新的联合体参加同一项目的采购活动。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7.项目现场勘察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　本项目是否组织现场勘察见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　供应商应按</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中规定</w:t>
      </w:r>
      <w:r>
        <w:rPr>
          <w:rFonts w:hint="eastAsia" w:asciiTheme="minorEastAsia" w:hAnsiTheme="minorEastAsia" w:eastAsiaTheme="minorEastAsia" w:cstheme="minorEastAsia"/>
          <w:color w:val="auto"/>
          <w:kern w:val="0"/>
          <w:szCs w:val="21"/>
          <w:highlight w:val="none"/>
          <w:lang w:eastAsia="zh-CN"/>
        </w:rPr>
        <w:t>的时间及地点，</w:t>
      </w:r>
      <w:r>
        <w:rPr>
          <w:rFonts w:hint="eastAsia" w:asciiTheme="minorEastAsia" w:hAnsiTheme="minorEastAsia" w:eastAsiaTheme="minorEastAsia" w:cstheme="minorEastAsia"/>
          <w:color w:val="auto"/>
          <w:kern w:val="0"/>
          <w:szCs w:val="21"/>
          <w:highlight w:val="none"/>
        </w:rPr>
        <w:t>对采购项目现场和周围环境的现场考察。供应商未在指定时间进行勘察的，采购人不再另行组织。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7.3　勘察现场的费用由供应商自己承担，勘察期间所发生的人身伤害及财产损失由供应商自己负责。</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7.4　采购人不对供应商据此而做出的推论、理解和结论负责。一旦成交，供应商不得以任何借口提出额外补偿或延长合同期限的要求。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szCs w:val="21"/>
          <w:highlight w:val="none"/>
        </w:rPr>
        <w:t>其他法律法规强制性规定</w:t>
      </w:r>
      <w:r>
        <w:rPr>
          <w:rFonts w:hint="eastAsia" w:asciiTheme="minorEastAsia" w:hAnsiTheme="minorEastAsia" w:eastAsiaTheme="minorEastAsia" w:cstheme="minorEastAsia"/>
          <w:color w:val="auto"/>
          <w:szCs w:val="21"/>
          <w:highlight w:val="none"/>
          <w:lang w:val="en-US" w:eastAsia="zh-CN"/>
        </w:rPr>
        <w:t>或其他规定</w:t>
      </w:r>
      <w:r>
        <w:rPr>
          <w:rFonts w:hint="eastAsia" w:asciiTheme="minorEastAsia" w:hAnsiTheme="minorEastAsia" w:eastAsiaTheme="minorEastAsia" w:cstheme="minorEastAsia"/>
          <w:color w:val="auto"/>
          <w:szCs w:val="21"/>
          <w:highlight w:val="none"/>
        </w:rPr>
        <w:t>。本项目的详细要求见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二、磋商文件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10.磋商文件的</w:t>
      </w:r>
      <w:r>
        <w:rPr>
          <w:rFonts w:hint="eastAsia" w:asciiTheme="minorEastAsia" w:hAnsiTheme="minorEastAsia" w:eastAsiaTheme="minorEastAsia" w:cstheme="minorEastAsia"/>
          <w:color w:val="auto"/>
          <w:kern w:val="0"/>
          <w:szCs w:val="21"/>
          <w:highlight w:val="none"/>
          <w:lang w:eastAsia="zh-CN"/>
        </w:rPr>
        <w:t>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10.1　磋商文件</w:t>
      </w:r>
      <w:r>
        <w:rPr>
          <w:rFonts w:hint="eastAsia" w:asciiTheme="minorEastAsia" w:hAnsiTheme="minorEastAsia" w:eastAsiaTheme="minorEastAsia" w:cstheme="minorEastAsia"/>
          <w:color w:val="auto"/>
          <w:kern w:val="0"/>
          <w:szCs w:val="21"/>
          <w:highlight w:val="none"/>
          <w:lang w:eastAsia="zh-CN"/>
        </w:rPr>
        <w:t>各章节的内容如下</w:t>
      </w:r>
      <w:r>
        <w:rPr>
          <w:rFonts w:hint="eastAsia" w:asciiTheme="minorEastAsia" w:hAnsiTheme="minorEastAsia" w:eastAsiaTheme="minorEastAsia" w:cstheme="minorEastAsia"/>
          <w:color w:val="auto"/>
          <w:kern w:val="0"/>
          <w:szCs w:val="21"/>
          <w:highlight w:val="none"/>
        </w:rPr>
        <w:t>：</w:t>
      </w:r>
    </w:p>
    <w:p>
      <w:pPr>
        <w:spacing w:line="360" w:lineRule="auto"/>
        <w:ind w:firstLine="718" w:firstLineChars="34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第一部分　商务部分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第一章　磋商邀请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第二章　磋商须知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第三章　评审方法及标准</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　第四章　</w:t>
      </w:r>
      <w:r>
        <w:rPr>
          <w:rFonts w:hint="eastAsia" w:asciiTheme="minorEastAsia" w:hAnsiTheme="minorEastAsia" w:eastAsiaTheme="minorEastAsia" w:cstheme="minorEastAsia"/>
          <w:color w:val="auto"/>
          <w:kern w:val="0"/>
          <w:szCs w:val="21"/>
          <w:highlight w:val="none"/>
          <w:lang w:eastAsia="zh-CN"/>
        </w:rPr>
        <w:t>拟签订的合同文本</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第五章　响应文件组成</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第二部分　技术部分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第六章　项目采购需求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供应商应仔细阅读磋商文件的全部内容，按照磋商文件要求编制响应文件。任何对磋商文件的忽略或误解</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不能作为响应文件存在缺陷或瑕疵的理由，其风险由供应商承担。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磋商小组根据与供应商磋商情况可能实质性变动的内容，包括采购需求中的技术、服务要求以及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，对磋商文件作出的实质性变动是磋商文件的有效组成部分。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11.磋商文件的澄清或者修改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　在磋商须知前附表规定的提交首次响应文件截止之日前，采购人、采购代理机构可以对已发出的磋商文件进行必要的澄清或者修改。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11.2　澄清或者修改的内容可能影响响应文件编制的，采购人、采购代理机构应当在磋商须知前附表规定的提交首次响应文件截止之日2</w:t>
      </w:r>
      <w:r>
        <w:rPr>
          <w:rFonts w:hint="eastAsia" w:asciiTheme="minorEastAsia" w:hAnsiTheme="minorEastAsia" w:eastAsiaTheme="minorEastAsia" w:cstheme="minorEastAsia"/>
          <w:color w:val="auto"/>
          <w:kern w:val="0"/>
          <w:szCs w:val="21"/>
          <w:highlight w:val="none"/>
          <w:lang w:val="en-US" w:eastAsia="zh-CN"/>
        </w:rPr>
        <w:t>个工作日</w:t>
      </w:r>
      <w:r>
        <w:rPr>
          <w:rFonts w:hint="eastAsia" w:asciiTheme="minorEastAsia" w:hAnsiTheme="minorEastAsia" w:eastAsiaTheme="minorEastAsia" w:cstheme="minorEastAsia"/>
          <w:color w:val="auto"/>
          <w:kern w:val="0"/>
          <w:szCs w:val="21"/>
          <w:highlight w:val="none"/>
        </w:rPr>
        <w:t>前，以书面形式通知所有接收磋商文件的供应商，不足2</w:t>
      </w:r>
      <w:r>
        <w:rPr>
          <w:rFonts w:hint="eastAsia" w:asciiTheme="minorEastAsia" w:hAnsiTheme="minorEastAsia" w:eastAsiaTheme="minorEastAsia" w:cstheme="minorEastAsia"/>
          <w:color w:val="auto"/>
          <w:kern w:val="0"/>
          <w:szCs w:val="21"/>
          <w:highlight w:val="none"/>
          <w:lang w:val="en-US" w:eastAsia="zh-CN"/>
        </w:rPr>
        <w:t>个工作日</w:t>
      </w:r>
      <w:r>
        <w:rPr>
          <w:rFonts w:hint="eastAsia" w:asciiTheme="minorEastAsia" w:hAnsiTheme="minorEastAsia" w:eastAsiaTheme="minorEastAsia" w:cstheme="minorEastAsia"/>
          <w:color w:val="auto"/>
          <w:kern w:val="0"/>
          <w:szCs w:val="21"/>
          <w:highlight w:val="none"/>
        </w:rPr>
        <w:t>的，顺延供应商提交首次响应文件截止时间。</w:t>
      </w:r>
      <w:r>
        <w:rPr>
          <w:rFonts w:hint="eastAsia" w:asciiTheme="minorEastAsia" w:hAnsiTheme="minorEastAsia" w:eastAsiaTheme="minorEastAsia" w:cstheme="minorEastAsia"/>
          <w:b/>
          <w:color w:val="auto"/>
          <w:kern w:val="0"/>
          <w:szCs w:val="21"/>
          <w:highlight w:val="none"/>
        </w:rPr>
        <w:t>【此项目为目录外标准下项目】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澄清或者修改内容为磋商文件的组成部分</w:t>
      </w:r>
      <w:r>
        <w:rPr>
          <w:rFonts w:hint="eastAsia" w:asciiTheme="minorEastAsia" w:hAnsiTheme="minorEastAsia" w:eastAsiaTheme="minorEastAsia" w:cstheme="minorEastAsia"/>
          <w:color w:val="auto"/>
          <w:kern w:val="0"/>
          <w:szCs w:val="21"/>
          <w:highlight w:val="none"/>
          <w:lang w:eastAsia="zh-CN"/>
        </w:rPr>
        <w:t>，对所有领取了磋商文件的供应商均具有约束力</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12.偏离</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w:t>
      </w:r>
      <w:r>
        <w:rPr>
          <w:rFonts w:hint="eastAsia" w:asciiTheme="minorEastAsia" w:hAnsiTheme="minorEastAsia" w:eastAsiaTheme="minorEastAsia" w:cstheme="minorEastAsia"/>
          <w:color w:val="auto"/>
          <w:highlight w:val="none"/>
        </w:rPr>
        <w:t>本条所称偏离为</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的偏离，即完全响应磋商文件要求的为“无偏离”、不满足或不响应磋商文件要求的为“负偏离”、优于磋商文件要求的为“正偏离”。</w:t>
      </w:r>
    </w:p>
    <w:p>
      <w:pPr>
        <w:pStyle w:val="20"/>
        <w:spacing w:line="44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★12.2</w:t>
      </w:r>
      <w:r>
        <w:rPr>
          <w:rFonts w:hint="eastAsia" w:ascii="Times New Roman"/>
          <w:color w:val="auto"/>
          <w:sz w:val="21"/>
          <w:szCs w:val="21"/>
          <w:highlight w:val="none"/>
          <w:lang w:val="en-US" w:eastAsia="zh-CN"/>
        </w:rPr>
        <w:t xml:space="preserve"> </w:t>
      </w:r>
      <w:r>
        <w:rPr>
          <w:rFonts w:hint="eastAsia" w:ascii="Times New Roman" w:hAnsi="Times New Roman"/>
          <w:color w:val="auto"/>
          <w:sz w:val="21"/>
          <w:szCs w:val="21"/>
          <w:highlight w:val="none"/>
        </w:rPr>
        <w:t>除法律、法规和规章规定外，</w:t>
      </w:r>
      <w:r>
        <w:rPr>
          <w:rFonts w:hint="eastAsia" w:ascii="Times New Roman"/>
          <w:color w:val="auto"/>
          <w:sz w:val="21"/>
          <w:szCs w:val="21"/>
          <w:highlight w:val="none"/>
          <w:lang w:eastAsia="zh-CN"/>
        </w:rPr>
        <w:t>磋商</w:t>
      </w:r>
      <w:r>
        <w:rPr>
          <w:rFonts w:hint="eastAsia" w:ascii="Times New Roman" w:hAnsi="Times New Roman"/>
          <w:color w:val="auto"/>
          <w:sz w:val="21"/>
          <w:szCs w:val="21"/>
          <w:highlight w:val="none"/>
        </w:rPr>
        <w:t>文件中用“拒绝”“不接受”“无效”“不得”“必须”“应当”（仅限标注“★”）等文字规定或其他标注“★”符号的条款为实质性要求条款(即重要条款)，对其中任何一条不满足或不响应，在</w:t>
      </w:r>
      <w:r>
        <w:rPr>
          <w:rFonts w:hint="eastAsia" w:ascii="Times New Roman"/>
          <w:color w:val="auto"/>
          <w:sz w:val="21"/>
          <w:szCs w:val="21"/>
          <w:highlight w:val="none"/>
          <w:lang w:eastAsia="zh-CN"/>
        </w:rPr>
        <w:t>评审</w:t>
      </w:r>
      <w:r>
        <w:rPr>
          <w:rFonts w:hint="eastAsia" w:ascii="Times New Roman" w:hAnsi="Times New Roman"/>
          <w:color w:val="auto"/>
          <w:sz w:val="21"/>
          <w:szCs w:val="21"/>
          <w:highlight w:val="none"/>
        </w:rPr>
        <w:t>时将其视为无效</w:t>
      </w:r>
      <w:r>
        <w:rPr>
          <w:rFonts w:hint="eastAsia" w:ascii="Times New Roman"/>
          <w:color w:val="auto"/>
          <w:sz w:val="21"/>
          <w:szCs w:val="21"/>
          <w:highlight w:val="none"/>
          <w:lang w:eastAsia="zh-CN"/>
        </w:rPr>
        <w:t>响应</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13.一般要求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供应商应仔细阅读磋商文件的所有内容，按磋商文件的要求编制响应文件，并保证所提供的全部资料的真实性，以使其响应文件对磋商文件做出实质性的响应。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imes New Roman" w:hAnsi="Times New Roman"/>
          <w:color w:val="auto"/>
          <w:highlight w:val="none"/>
        </w:rPr>
        <w:t>★</w:t>
      </w:r>
      <w:r>
        <w:rPr>
          <w:rFonts w:hint="eastAsia" w:asciiTheme="minorEastAsia" w:hAnsiTheme="minorEastAsia" w:eastAsiaTheme="minorEastAsia" w:cstheme="minorEastAsia"/>
          <w:color w:val="auto"/>
          <w:kern w:val="0"/>
          <w:szCs w:val="21"/>
          <w:highlight w:val="none"/>
        </w:rPr>
        <w:t>13.3　除技术要求另有规定外，本文件所要求使用的计量单位均采用国家法定的度、量、衡标准单位计量。未列明时亦默认为我国法定计量单位。</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13.4　供应商应按磋商文件中提供的响应文件格式填写。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13.5　磋商响应文件应采用书面形式，磋商文件中要求提供电子版的，必须按要求提供。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14.响应文件的组成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14.1　响应文件应包括但不限于下列内容：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14.1.1　</w:t>
      </w:r>
      <w:r>
        <w:rPr>
          <w:rFonts w:hint="eastAsia" w:asciiTheme="minorEastAsia" w:hAnsiTheme="minorEastAsia" w:eastAsiaTheme="minorEastAsia" w:cstheme="minorEastAsia"/>
          <w:color w:val="auto"/>
          <w:highlight w:val="none"/>
        </w:rPr>
        <w:t>价格及</w:t>
      </w:r>
      <w:r>
        <w:rPr>
          <w:rFonts w:hint="eastAsia" w:asciiTheme="minorEastAsia" w:hAnsiTheme="minorEastAsia" w:eastAsiaTheme="minorEastAsia" w:cstheme="minorEastAsia"/>
          <w:color w:val="auto"/>
          <w:kern w:val="0"/>
          <w:szCs w:val="21"/>
          <w:highlight w:val="none"/>
        </w:rPr>
        <w:t>商务部分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w:t>
      </w:r>
      <w:r>
        <w:rPr>
          <w:rFonts w:hint="eastAsia" w:asciiTheme="minorEastAsia" w:hAnsiTheme="minorEastAsia" w:eastAsiaTheme="minorEastAsia" w:cstheme="minorEastAsia"/>
          <w:b/>
          <w:color w:val="auto"/>
          <w:kern w:val="0"/>
          <w:szCs w:val="21"/>
          <w:highlight w:val="none"/>
          <w:lang w:eastAsia="zh-CN"/>
        </w:rPr>
        <w:t>的</w:t>
      </w:r>
      <w:r>
        <w:rPr>
          <w:rFonts w:hint="eastAsia" w:asciiTheme="minorEastAsia" w:hAnsiTheme="minorEastAsia" w:eastAsiaTheme="minorEastAsia" w:cstheme="minorEastAsia"/>
          <w:b/>
          <w:color w:val="auto"/>
          <w:kern w:val="0"/>
          <w:szCs w:val="21"/>
          <w:highlight w:val="none"/>
        </w:rPr>
        <w:t>证明文件或材料}：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★(1)磋商响应声明（格式见第五章）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★(2)报价一览表及分项价格表（格式见第五章）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★(3)商务条款偏离表（供应商</w:t>
      </w:r>
      <w:r>
        <w:rPr>
          <w:rFonts w:hint="eastAsia" w:asciiTheme="minorEastAsia" w:hAnsiTheme="minorEastAsia" w:eastAsiaTheme="minorEastAsia" w:cstheme="minorEastAsia"/>
          <w:color w:val="auto"/>
          <w:highlight w:val="none"/>
        </w:rPr>
        <w:t>填报该表时，应按项目采购需求中的商务条款要求，结合自身参加磋商情况对商务条款逐条响应，未逐条响应的视为响应无效。格式见第五章</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★(4)磋商保证金</w:t>
      </w:r>
    </w:p>
    <w:p>
      <w:pPr>
        <w:spacing w:line="360" w:lineRule="auto"/>
        <w:ind w:firstLine="525" w:firstLineChars="25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(5)供应商符合资格条件的证明文件</w:t>
      </w:r>
      <w:r>
        <w:rPr>
          <w:rFonts w:hint="eastAsia" w:asciiTheme="minorEastAsia" w:hAnsiTheme="minorEastAsia" w:eastAsiaTheme="minorEastAsia" w:cstheme="minorEastAsia"/>
          <w:b/>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1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①</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供应商基本情况表（格式见第五章）</w:t>
      </w:r>
    </w:p>
    <w:p>
      <w:pPr>
        <w:numPr>
          <w:ilvl w:val="0"/>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2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②</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有效的新版“营业执照”或《事业单位法人证书》或其他依法成立组织的证明文件</w:t>
      </w:r>
      <w:r>
        <w:rPr>
          <w:rFonts w:hint="eastAsia" w:asciiTheme="minorEastAsia" w:hAnsiTheme="minorEastAsia" w:eastAsiaTheme="minorEastAsia" w:cstheme="minorEastAsia"/>
          <w:color w:val="auto"/>
          <w:highlight w:val="none"/>
        </w:rPr>
        <w:t>（必须具有，如能够在线查询的材料，请提供国家有关部门规定查询的网址链接）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有效的税务登记证（必须具有，</w:t>
      </w:r>
      <w:r>
        <w:rPr>
          <w:rFonts w:hint="eastAsia"/>
          <w:color w:val="auto"/>
          <w:highlight w:val="none"/>
        </w:rPr>
        <w:t>如能够在线查询的材料，请</w:t>
      </w:r>
      <w:r>
        <w:rPr>
          <w:rFonts w:hint="eastAsia" w:ascii="Times New Roman" w:hAnsi="Times New Roman"/>
          <w:color w:val="auto"/>
          <w:highlight w:val="none"/>
        </w:rPr>
        <w:t>提供国家有关部门规定</w:t>
      </w:r>
      <w:r>
        <w:rPr>
          <w:rFonts w:hint="eastAsia" w:hAnsi="Calibri"/>
          <w:color w:val="auto"/>
          <w:highlight w:val="none"/>
        </w:rPr>
        <w:t>查询的网址链接</w:t>
      </w:r>
      <w:r>
        <w:rPr>
          <w:rFonts w:hint="eastAsia" w:ascii="Times New Roman" w:hAnsi="Times New Roman"/>
          <w:color w:val="auto"/>
          <w:highlight w:val="none"/>
        </w:rPr>
        <w:t>）；（若已经取得“三证合一”的可不提供）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4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④</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完整有效的身份证复印件（第二代身份证必须提供正反面复印件）。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5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⑤</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授权委托书(格式见第五章) 和委托代理人完整有效的身份证复印件（委托代理时必须提供。第二代身份证必须提供正反面复印件）。</w:t>
      </w:r>
    </w:p>
    <w:p>
      <w:pPr>
        <w:pStyle w:val="20"/>
        <w:spacing w:line="440" w:lineRule="exact"/>
        <w:ind w:firstLine="420" w:firstLineChars="200"/>
        <w:rPr>
          <w:rFonts w:hint="eastAsia" w:ascii="Times New Roman" w:hAnsi="Times New Roman"/>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sz w:val="21"/>
          <w:szCs w:val="21"/>
          <w:highlight w:val="none"/>
          <w:lang w:val="en-US" w:eastAsia="zh-CN" w:bidi="ar-SA"/>
        </w:rPr>
        <w:fldChar w:fldCharType="begin"/>
      </w:r>
      <w:r>
        <w:rPr>
          <w:rFonts w:hint="eastAsia" w:asciiTheme="minorEastAsia" w:hAnsiTheme="minorEastAsia" w:eastAsiaTheme="minorEastAsia" w:cstheme="minorEastAsia"/>
          <w:color w:val="auto"/>
          <w:kern w:val="0"/>
          <w:sz w:val="21"/>
          <w:szCs w:val="21"/>
          <w:highlight w:val="none"/>
          <w:lang w:val="en-US" w:eastAsia="zh-CN" w:bidi="ar-SA"/>
        </w:rPr>
        <w:instrText xml:space="preserve"> = 6 \* GB3 \* MERGEFORMAT </w:instrText>
      </w:r>
      <w:r>
        <w:rPr>
          <w:rFonts w:hint="eastAsia" w:asciiTheme="minorEastAsia" w:hAnsiTheme="minorEastAsia" w:eastAsiaTheme="minorEastAsia" w:cstheme="minorEastAsia"/>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color w:val="auto"/>
          <w:kern w:val="0"/>
          <w:sz w:val="21"/>
          <w:szCs w:val="21"/>
          <w:highlight w:val="none"/>
          <w:lang w:val="en-US" w:eastAsia="zh-CN" w:bidi="ar-SA"/>
        </w:rPr>
        <w:t>⑥</w:t>
      </w:r>
      <w:r>
        <w:rPr>
          <w:rFonts w:hint="eastAsia" w:asciiTheme="minorEastAsia" w:hAnsiTheme="minorEastAsia" w:eastAsiaTheme="minorEastAsia" w:cstheme="minorEastAsia"/>
          <w:color w:val="auto"/>
          <w:kern w:val="0"/>
          <w:sz w:val="21"/>
          <w:szCs w:val="21"/>
          <w:highlight w:val="none"/>
          <w:lang w:val="en-US" w:eastAsia="zh-CN" w:bidi="ar-SA"/>
        </w:rPr>
        <w:fldChar w:fldCharType="end"/>
      </w:r>
      <w:r>
        <w:rPr>
          <w:rFonts w:hint="eastAsia" w:asciiTheme="minorEastAsia" w:hAnsiTheme="minorEastAsia" w:eastAsiaTheme="minorEastAsia" w:cstheme="minorEastAsia"/>
          <w:color w:val="auto"/>
          <w:kern w:val="0"/>
          <w:sz w:val="21"/>
          <w:szCs w:val="21"/>
          <w:highlight w:val="none"/>
          <w:lang w:val="en-US" w:eastAsia="zh-CN" w:bidi="ar-SA"/>
        </w:rPr>
        <w:t>响应文件递交截止时间前半年内，供应商提供至少三个月财务报表（财务报表应至少包含资产负债表和损益表或利润表的复印件），或提供供应商2021年度经第三方审计的财务状况报告复印件，新成立的公司按照实际情况提供财务报表</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7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⑦</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供应商</w:t>
      </w:r>
      <w:r>
        <w:rPr>
          <w:rFonts w:hint="eastAsia" w:asciiTheme="minorEastAsia" w:hAnsiTheme="minorEastAsia" w:eastAsiaTheme="minorEastAsia" w:cstheme="minorEastAsia"/>
          <w:color w:val="auto"/>
          <w:kern w:val="0"/>
          <w:szCs w:val="21"/>
          <w:highlight w:val="none"/>
          <w:lang w:val="en-US" w:eastAsia="zh-CN"/>
        </w:rPr>
        <w:t>提供至少</w:t>
      </w:r>
      <w:r>
        <w:rPr>
          <w:rFonts w:hint="eastAsia" w:asciiTheme="minorEastAsia" w:hAnsiTheme="minorEastAsia" w:eastAsiaTheme="minorEastAsia" w:cstheme="minorEastAsia"/>
          <w:color w:val="auto"/>
          <w:kern w:val="0"/>
          <w:sz w:val="21"/>
          <w:szCs w:val="21"/>
          <w:highlight w:val="none"/>
          <w:lang w:val="en-US" w:eastAsia="zh-CN" w:bidi="ar-SA"/>
        </w:rPr>
        <w:t>三</w:t>
      </w:r>
      <w:r>
        <w:rPr>
          <w:rFonts w:hint="eastAsia" w:asciiTheme="minorEastAsia" w:hAnsiTheme="minorEastAsia" w:eastAsiaTheme="minorEastAsia" w:cstheme="minorEastAsia"/>
          <w:color w:val="auto"/>
          <w:kern w:val="0"/>
          <w:szCs w:val="21"/>
          <w:highlight w:val="none"/>
        </w:rPr>
        <w:t>个月的依法纳税的依法缴纳税费或依法免缴税费的证明（复印件，原件备查）；供应商无纳税记录或为新成立公司，应提供由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所在地主管税务部门出具的依法纳税或依法免税证明（复印件）。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8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⑧</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val="en-US" w:eastAsia="zh-CN"/>
        </w:rPr>
        <w:t>至少</w:t>
      </w:r>
      <w:r>
        <w:rPr>
          <w:rFonts w:hint="eastAsia" w:asciiTheme="minorEastAsia" w:hAnsiTheme="minorEastAsia" w:eastAsiaTheme="minorEastAsia" w:cstheme="minorEastAsia"/>
          <w:color w:val="auto"/>
          <w:kern w:val="0"/>
          <w:sz w:val="21"/>
          <w:szCs w:val="21"/>
          <w:highlight w:val="none"/>
          <w:lang w:val="en-US" w:eastAsia="zh-CN" w:bidi="ar-SA"/>
        </w:rPr>
        <w:t>三</w:t>
      </w:r>
      <w:r>
        <w:rPr>
          <w:rFonts w:hint="eastAsia" w:asciiTheme="minorEastAsia" w:hAnsiTheme="minorEastAsia" w:eastAsiaTheme="minorEastAsia" w:cstheme="minorEastAsia"/>
          <w:color w:val="auto"/>
          <w:kern w:val="0"/>
          <w:szCs w:val="21"/>
          <w:highlight w:val="none"/>
        </w:rPr>
        <w:t>个月的依法缴纳社保费的缴费凭证（复印件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）；供应商无缴费记录或为新成立公司，应提供由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所在地社保部门出具的</w:t>
      </w:r>
      <w:r>
        <w:rPr>
          <w:rFonts w:hint="eastAsia" w:asciiTheme="minorEastAsia" w:hAnsiTheme="minorEastAsia" w:eastAsiaTheme="minorEastAsia" w:cstheme="minorEastAsia"/>
          <w:color w:val="auto"/>
          <w:kern w:val="0"/>
          <w:szCs w:val="21"/>
          <w:highlight w:val="none"/>
          <w:lang w:eastAsia="zh-CN"/>
        </w:rPr>
        <w:t>依法缴纳或依法免缴社保费证明</w:t>
      </w:r>
      <w:r>
        <w:rPr>
          <w:rFonts w:hint="eastAsia" w:asciiTheme="minorEastAsia" w:hAnsiTheme="minorEastAsia" w:eastAsiaTheme="minorEastAsia" w:cstheme="minorEastAsia"/>
          <w:color w:val="auto"/>
          <w:kern w:val="0"/>
          <w:szCs w:val="21"/>
          <w:highlight w:val="none"/>
        </w:rPr>
        <w:t>（复印件）。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9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⑨</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kern w:val="0"/>
          <w:szCs w:val="21"/>
          <w:highlight w:val="none"/>
          <w:lang w:eastAsia="zh-CN"/>
        </w:rPr>
        <w:t>本采购</w:t>
      </w:r>
      <w:r>
        <w:rPr>
          <w:rFonts w:hint="eastAsia" w:asciiTheme="minorEastAsia" w:hAnsiTheme="minorEastAsia" w:eastAsiaTheme="minorEastAsia" w:cstheme="minorEastAsia"/>
          <w:color w:val="auto"/>
          <w:kern w:val="0"/>
          <w:szCs w:val="21"/>
          <w:highlight w:val="none"/>
        </w:rPr>
        <w:t>活动前三年内在经营活动中没有重大违法记录的书面声明（格式见第五章）。</w:t>
      </w:r>
    </w:p>
    <w:p>
      <w:pPr>
        <w:numPr>
          <w:ilvl w:val="0"/>
          <w:numId w:val="0"/>
        </w:numPr>
        <w:spacing w:line="360" w:lineRule="auto"/>
        <w:ind w:firstLine="630" w:firstLineChars="300"/>
        <w:rPr>
          <w:rFonts w:hint="eastAsia" w:ascii="Times New Roman" w:hAnsi="Times New Roman"/>
          <w:color w:val="auto"/>
          <w:highlight w:val="none"/>
        </w:rPr>
      </w:pPr>
      <w:r>
        <w:rPr>
          <w:rFonts w:hint="eastAsia" w:ascii="Times New Roman" w:hAnsi="Times New Roman"/>
          <w:color w:val="auto"/>
          <w:highlight w:val="none"/>
        </w:rPr>
        <w:fldChar w:fldCharType="begin"/>
      </w:r>
      <w:r>
        <w:rPr>
          <w:rFonts w:hint="eastAsia" w:ascii="Times New Roman" w:hAnsi="Times New Roman"/>
          <w:color w:val="auto"/>
          <w:highlight w:val="none"/>
        </w:rPr>
        <w:instrText xml:space="preserve"> = 10 \* GB3 \* MERGEFORMAT </w:instrText>
      </w:r>
      <w:r>
        <w:rPr>
          <w:rFonts w:hint="eastAsia" w:ascii="Times New Roman" w:hAnsi="Times New Roman"/>
          <w:color w:val="auto"/>
          <w:highlight w:val="none"/>
        </w:rPr>
        <w:fldChar w:fldCharType="separate"/>
      </w:r>
      <w:r>
        <w:rPr>
          <w:color w:val="auto"/>
          <w:highlight w:val="none"/>
        </w:rPr>
        <w:t>⑩</w:t>
      </w:r>
      <w:r>
        <w:rPr>
          <w:rFonts w:hint="eastAsia" w:ascii="Times New Roman" w:hAnsi="Times New Roman"/>
          <w:color w:val="auto"/>
          <w:highlight w:val="none"/>
        </w:rPr>
        <w:fldChar w:fldCharType="end"/>
      </w:r>
      <w:r>
        <w:rPr>
          <w:rFonts w:hint="eastAsia" w:ascii="Times New Roman" w:hAnsi="Times New Roman"/>
          <w:color w:val="auto"/>
          <w:highlight w:val="none"/>
        </w:rPr>
        <w:t>联合体协议（联合体</w:t>
      </w:r>
      <w:r>
        <w:rPr>
          <w:rFonts w:hint="eastAsia"/>
          <w:color w:val="auto"/>
          <w:highlight w:val="none"/>
          <w:lang w:val="en-US" w:eastAsia="zh-CN"/>
        </w:rPr>
        <w:t>磋商</w:t>
      </w:r>
      <w:r>
        <w:rPr>
          <w:rFonts w:hint="eastAsia" w:ascii="Times New Roman" w:hAnsi="Times New Roman"/>
          <w:color w:val="auto"/>
          <w:highlight w:val="none"/>
        </w:rPr>
        <w:t>时必须提供，</w:t>
      </w:r>
      <w:r>
        <w:rPr>
          <w:rFonts w:hint="eastAsia" w:asciiTheme="minorEastAsia" w:hAnsiTheme="minorEastAsia" w:eastAsiaTheme="minorEastAsia" w:cstheme="minorEastAsia"/>
          <w:color w:val="auto"/>
          <w:kern w:val="0"/>
          <w:szCs w:val="21"/>
          <w:highlight w:val="none"/>
        </w:rPr>
        <w:t>格式见第五章</w:t>
      </w:r>
      <w:r>
        <w:rPr>
          <w:rFonts w:hint="eastAsia" w:ascii="Times New Roman" w:hAnsi="Times New Roman"/>
          <w:color w:val="auto"/>
          <w:highlight w:val="none"/>
        </w:rPr>
        <w:t>）</w:t>
      </w:r>
    </w:p>
    <w:p>
      <w:pPr>
        <w:numPr>
          <w:ilvl w:val="0"/>
          <w:numId w:val="0"/>
        </w:numPr>
        <w:spacing w:line="360" w:lineRule="auto"/>
        <w:ind w:firstLine="630" w:firstLineChars="300"/>
        <w:rPr>
          <w:rFonts w:hint="eastAsia" w:asciiTheme="minorEastAsia" w:hAnsiTheme="minorEastAsia" w:eastAsiaTheme="minorEastAsia" w:cstheme="minorEastAsia"/>
          <w:color w:val="auto"/>
          <w:kern w:val="0"/>
          <w:szCs w:val="21"/>
          <w:highlight w:val="none"/>
          <w:u w:val="single"/>
          <w:lang w:val="en-US" w:eastAsia="zh-CN"/>
        </w:rPr>
      </w:pPr>
      <w:r>
        <w:rPr>
          <w:rFonts w:hint="eastAsia" w:asciiTheme="minorEastAsia" w:hAnsiTheme="minorEastAsia" w:eastAsiaTheme="minorEastAsia" w:cstheme="minorEastAsia"/>
          <w:color w:val="auto"/>
          <w:kern w:val="0"/>
          <w:szCs w:val="21"/>
          <w:highlight w:val="none"/>
        </w:rPr>
        <w:t>⑪</w:t>
      </w:r>
      <w:r>
        <w:rPr>
          <w:rFonts w:hint="eastAsia" w:ascii="Times New Roman" w:hAnsi="Times New Roman"/>
          <w:color w:val="auto"/>
          <w:highlight w:val="none"/>
        </w:rPr>
        <w:t>特定资格条件</w:t>
      </w:r>
      <w:r>
        <w:rPr>
          <w:rFonts w:hint="eastAsia" w:asciiTheme="minorEastAsia" w:hAnsiTheme="minorEastAsia" w:eastAsiaTheme="minorEastAsia" w:cstheme="minorEastAsia"/>
          <w:color w:val="auto"/>
          <w:kern w:val="0"/>
          <w:szCs w:val="21"/>
          <w:highlight w:val="none"/>
          <w:u w:val="none"/>
        </w:rPr>
        <w:t>：</w:t>
      </w:r>
      <w:r>
        <w:rPr>
          <w:rFonts w:hint="eastAsia" w:asciiTheme="minorEastAsia" w:hAnsiTheme="minorEastAsia" w:eastAsiaTheme="minorEastAsia" w:cstheme="minorEastAsia"/>
          <w:color w:val="auto"/>
          <w:kern w:val="0"/>
          <w:szCs w:val="21"/>
          <w:highlight w:val="none"/>
          <w:u w:val="none"/>
          <w:lang w:eastAsia="zh-CN"/>
        </w:rPr>
        <w:t>无</w:t>
      </w:r>
      <w:r>
        <w:rPr>
          <w:rFonts w:hint="eastAsia" w:asciiTheme="minorEastAsia" w:hAnsiTheme="minorEastAsia" w:eastAsiaTheme="minorEastAsia" w:cstheme="minorEastAsia"/>
          <w:color w:val="auto"/>
          <w:kern w:val="0"/>
          <w:szCs w:val="21"/>
          <w:highlight w:val="none"/>
          <w:u w:val="none"/>
          <w:lang w:val="en-US" w:eastAsia="zh-CN"/>
        </w:rPr>
        <w:t>。</w:t>
      </w:r>
    </w:p>
    <w:p>
      <w:pPr>
        <w:numPr>
          <w:ilvl w:val="-1"/>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符合</w:t>
      </w:r>
      <w:r>
        <w:rPr>
          <w:rFonts w:hint="eastAsia" w:asciiTheme="minorEastAsia" w:hAnsiTheme="minorEastAsia" w:eastAsiaTheme="minorEastAsia" w:cstheme="minorEastAsia"/>
          <w:color w:val="auto"/>
          <w:kern w:val="0"/>
          <w:szCs w:val="21"/>
          <w:highlight w:val="none"/>
          <w:lang w:val="en-US" w:eastAsia="zh-CN"/>
        </w:rPr>
        <w:t>相关扶持</w:t>
      </w:r>
      <w:r>
        <w:rPr>
          <w:rFonts w:hint="eastAsia" w:asciiTheme="minorEastAsia" w:hAnsiTheme="minorEastAsia" w:eastAsiaTheme="minorEastAsia" w:cstheme="minorEastAsia"/>
          <w:color w:val="auto"/>
          <w:kern w:val="0"/>
          <w:szCs w:val="21"/>
          <w:highlight w:val="none"/>
        </w:rPr>
        <w:t>政策的证明材料</w:t>
      </w:r>
    </w:p>
    <w:p>
      <w:pPr>
        <w:pStyle w:val="2"/>
        <w:numPr>
          <w:ilvl w:val="0"/>
          <w:numId w:val="0"/>
        </w:num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）磋商须知前附表要求供应商须提供的其他资料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）供应商认为需提供的其他资料</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14.1.2　技术部分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w:t>
      </w:r>
      <w:r>
        <w:rPr>
          <w:rFonts w:hint="eastAsia" w:asciiTheme="minorEastAsia" w:hAnsiTheme="minorEastAsia" w:eastAsiaTheme="minorEastAsia" w:cstheme="minorEastAsia"/>
          <w:b/>
          <w:color w:val="auto"/>
          <w:kern w:val="0"/>
          <w:szCs w:val="21"/>
          <w:highlight w:val="none"/>
          <w:lang w:eastAsia="zh-CN"/>
        </w:rPr>
        <w:t>的</w:t>
      </w:r>
      <w:r>
        <w:rPr>
          <w:rFonts w:hint="eastAsia" w:asciiTheme="minorEastAsia" w:hAnsiTheme="minorEastAsia" w:eastAsiaTheme="minorEastAsia" w:cstheme="minorEastAsia"/>
          <w:b/>
          <w:color w:val="auto"/>
          <w:kern w:val="0"/>
          <w:szCs w:val="21"/>
          <w:highlight w:val="none"/>
        </w:rPr>
        <w:t>证明文件或材料}：</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imes New Roman" w:hAnsi="Times New Roman"/>
          <w:color w:val="auto"/>
          <w:highlight w:val="none"/>
        </w:rPr>
        <w:t>施工组织方案、设计方案</w:t>
      </w:r>
      <w:r>
        <w:rPr>
          <w:rFonts w:hint="eastAsia" w:asciiTheme="minorEastAsia" w:hAnsiTheme="minorEastAsia" w:eastAsiaTheme="minorEastAsia" w:cstheme="minorEastAsia"/>
          <w:color w:val="auto"/>
          <w:kern w:val="0"/>
          <w:szCs w:val="21"/>
          <w:highlight w:val="none"/>
        </w:rPr>
        <w:t>（格式自拟）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imes New Roman" w:hAnsi="Times New Roman"/>
          <w:color w:val="auto"/>
          <w:highlight w:val="none"/>
        </w:rPr>
        <w:t>填报该表时，应按项目采购需求中的技术服务需求及要求，结合自身</w:t>
      </w:r>
      <w:r>
        <w:rPr>
          <w:rFonts w:hint="eastAsia"/>
          <w:color w:val="auto"/>
          <w:highlight w:val="none"/>
          <w:lang w:val="en-US" w:eastAsia="zh-CN"/>
        </w:rPr>
        <w:t>磋商</w:t>
      </w:r>
      <w:r>
        <w:rPr>
          <w:rFonts w:hint="eastAsia" w:ascii="Times New Roman" w:hAnsi="Times New Roman"/>
          <w:color w:val="auto"/>
          <w:highlight w:val="none"/>
        </w:rPr>
        <w:t>情况对技术条款逐条响应，未逐条响应的视为</w:t>
      </w:r>
      <w:r>
        <w:rPr>
          <w:rFonts w:hint="eastAsia"/>
          <w:color w:val="auto"/>
          <w:highlight w:val="none"/>
          <w:lang w:val="en-US" w:eastAsia="zh-CN"/>
        </w:rPr>
        <w:t>磋商</w:t>
      </w:r>
      <w:r>
        <w:rPr>
          <w:rFonts w:hint="eastAsia" w:ascii="Times New Roman" w:hAnsi="Times New Roman"/>
          <w:color w:val="auto"/>
          <w:highlight w:val="none"/>
        </w:rPr>
        <w:t>无效。</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供应商</w:t>
      </w:r>
      <w:r>
        <w:rPr>
          <w:rFonts w:hint="eastAsia" w:hAnsi="宋体" w:eastAsia="宋体" w:cs="宋体"/>
          <w:color w:val="auto"/>
          <w:highlight w:val="none"/>
          <w:lang w:eastAsia="zh-CN"/>
        </w:rPr>
        <w:t>服务承诺</w:t>
      </w:r>
      <w:r>
        <w:rPr>
          <w:rFonts w:hint="eastAsia"/>
          <w:color w:val="auto"/>
          <w:highlight w:val="none"/>
          <w:lang w:eastAsia="zh-CN"/>
        </w:rPr>
        <w:t>（</w:t>
      </w:r>
      <w:r>
        <w:rPr>
          <w:rFonts w:hint="eastAsia"/>
          <w:color w:val="auto"/>
          <w:highlight w:val="none"/>
          <w:lang w:val="en-US" w:eastAsia="zh-CN"/>
        </w:rPr>
        <w:t>应包含</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(4)用于本项目人员简历表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(5)磋商标的物符合磋商文件要求的相关证明文件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规定供应商在</w:t>
      </w:r>
      <w:r>
        <w:rPr>
          <w:rFonts w:hint="eastAsia" w:asciiTheme="minorEastAsia" w:hAnsiTheme="minorEastAsia" w:eastAsiaTheme="minorEastAsia" w:cstheme="minorEastAsia"/>
          <w:color w:val="auto"/>
          <w:kern w:val="0"/>
          <w:szCs w:val="21"/>
          <w:highlight w:val="none"/>
          <w:lang w:eastAsia="zh-CN"/>
        </w:rPr>
        <w:t>首次响应文件递交</w:t>
      </w:r>
      <w:r>
        <w:rPr>
          <w:rFonts w:hint="eastAsia" w:asciiTheme="minorEastAsia" w:hAnsiTheme="minorEastAsia" w:eastAsiaTheme="minorEastAsia" w:cstheme="minorEastAsia"/>
          <w:color w:val="auto"/>
          <w:kern w:val="0"/>
          <w:szCs w:val="21"/>
          <w:highlight w:val="none"/>
        </w:rPr>
        <w:t>时提供样品的，供应商有以下情形之一的，在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时将其视为无效响应文件。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(1)未在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规定的提交时间、地点提交的；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(2)供应商提供的样品与响应文件中型号、规格不一致的。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在</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过程中，</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根据</w:t>
      </w:r>
      <w:r>
        <w:rPr>
          <w:rFonts w:hint="eastAsia" w:asciiTheme="minorEastAsia" w:hAnsiTheme="minorEastAsia" w:eastAsiaTheme="minorEastAsia" w:cstheme="minorEastAsia"/>
          <w:color w:val="auto"/>
          <w:kern w:val="0"/>
          <w:szCs w:val="21"/>
          <w:highlight w:val="none"/>
          <w:lang w:val="en-US" w:eastAsia="zh-CN"/>
        </w:rPr>
        <w:t>磋商小组</w:t>
      </w:r>
      <w:r>
        <w:rPr>
          <w:rFonts w:hint="eastAsia" w:asciiTheme="minorEastAsia" w:hAnsiTheme="minorEastAsia" w:eastAsiaTheme="minorEastAsia" w:cstheme="minorEastAsia"/>
          <w:color w:val="auto"/>
          <w:kern w:val="0"/>
          <w:szCs w:val="21"/>
          <w:highlight w:val="none"/>
        </w:rPr>
        <w:t>书面形式要求提供的澄清文件是</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在磋商过程中，供应商根据磋商小组书面形式要求提交的最后报价(或者重新提交的响应文件和最后报价)是响应文件的有效组成部分。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磋商文件规定可能发生实质性变动的，供应商应当在《商务条款偏离表》</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rPr>
        <w:t>中的对应内容处注明。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供应商无论成交与否，其响应文件不予退还。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　供应商应按磋商文件规定的供货及服务要求、责任范围和合同条件，以人民币进行报价。</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szCs w:val="21"/>
          <w:highlight w:val="none"/>
        </w:rPr>
        <w:t>报价应为完税价。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15.3供应商</w:t>
      </w:r>
      <w:r>
        <w:rPr>
          <w:rFonts w:hint="eastAsia" w:asciiTheme="minorEastAsia" w:hAnsiTheme="minorEastAsia" w:eastAsiaTheme="minorEastAsia" w:cstheme="minorEastAsia"/>
          <w:color w:val="auto"/>
          <w:szCs w:val="21"/>
          <w:highlight w:val="none"/>
        </w:rPr>
        <w:t>对每种货物及服务只允许有一个报价，不接受可变动性报价、赠送及“零”报价，否则，在</w:t>
      </w:r>
      <w:r>
        <w:rPr>
          <w:rFonts w:hint="eastAsia" w:asciiTheme="minorEastAsia" w:hAnsiTheme="minorEastAsia" w:eastAsiaTheme="minorEastAsia" w:cstheme="minorEastAsia"/>
          <w:color w:val="auto"/>
          <w:szCs w:val="21"/>
          <w:highlight w:val="none"/>
          <w:lang w:eastAsia="zh-CN"/>
        </w:rPr>
        <w:t>评审</w:t>
      </w:r>
      <w:r>
        <w:rPr>
          <w:rFonts w:hint="eastAsia" w:asciiTheme="minorEastAsia" w:hAnsiTheme="minorEastAsia" w:eastAsiaTheme="minorEastAsia" w:cstheme="minorEastAsia"/>
          <w:color w:val="auto"/>
          <w:szCs w:val="21"/>
          <w:highlight w:val="none"/>
        </w:rPr>
        <w:t>时将其视为无效磋商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15.4　项目有特殊要求的见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16.1　本项目是否交纳磋商保证金要求见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16.2　磋商须知前附表规定交纳磋商保证金的，供应商应以</w:t>
      </w:r>
      <w:r>
        <w:rPr>
          <w:rFonts w:hint="eastAsia" w:ascii="Times New Roman" w:hAnsi="Times New Roman"/>
          <w:color w:val="auto"/>
          <w:highlight w:val="none"/>
        </w:rPr>
        <w:t>银行转账、支票、汇票、本票或者金融、担保机构出具的保函等非现金形式</w:t>
      </w:r>
      <w:r>
        <w:rPr>
          <w:rFonts w:hint="eastAsia" w:asciiTheme="minorEastAsia" w:hAnsiTheme="minorEastAsia" w:eastAsiaTheme="minorEastAsia" w:cstheme="minorEastAsia"/>
          <w:color w:val="auto"/>
          <w:kern w:val="0"/>
          <w:szCs w:val="21"/>
          <w:highlight w:val="none"/>
        </w:rPr>
        <w:t>，</w:t>
      </w:r>
      <w:r>
        <w:rPr>
          <w:rFonts w:hint="eastAsia" w:ascii="Times New Roman" w:hAnsi="Times New Roman"/>
          <w:color w:val="auto"/>
          <w:highlight w:val="none"/>
        </w:rPr>
        <w:t>禁止采用现钞方式，</w:t>
      </w:r>
      <w:r>
        <w:rPr>
          <w:rFonts w:hint="eastAsia" w:asciiTheme="minorEastAsia" w:hAnsiTheme="minorEastAsia" w:eastAsiaTheme="minorEastAsia" w:cstheme="minorEastAsia"/>
          <w:color w:val="auto"/>
          <w:kern w:val="0"/>
          <w:szCs w:val="21"/>
          <w:highlight w:val="none"/>
        </w:rPr>
        <w:t>在</w:t>
      </w:r>
      <w:r>
        <w:rPr>
          <w:rFonts w:hint="eastAsia" w:asciiTheme="minorEastAsia" w:hAnsiTheme="minorEastAsia" w:eastAsiaTheme="minorEastAsia" w:cstheme="minorEastAsia"/>
          <w:color w:val="auto"/>
          <w:kern w:val="0"/>
          <w:szCs w:val="21"/>
          <w:highlight w:val="none"/>
          <w:lang w:val="en-US" w:eastAsia="zh-CN"/>
        </w:rPr>
        <w:t>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规定的提交首次响应文件截止时间前提交</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规定的磋商保证金</w:t>
      </w:r>
      <w:r>
        <w:rPr>
          <w:rFonts w:ascii="Times New Roman" w:hAnsi="Times New Roman" w:cs="Times New Roman"/>
          <w:color w:val="auto"/>
          <w:highlight w:val="none"/>
        </w:rPr>
        <w:t>(</w:t>
      </w:r>
      <w:r>
        <w:rPr>
          <w:rFonts w:hint="eastAsia" w:ascii="Times New Roman" w:hAnsi="Times New Roman"/>
          <w:color w:val="auto"/>
          <w:highlight w:val="none"/>
        </w:rPr>
        <w:t>数额采用四舍五入</w:t>
      </w:r>
      <w:r>
        <w:rPr>
          <w:rFonts w:hint="eastAsia" w:ascii="Times New Roman" w:hAnsi="Times New Roman" w:cs="MingLiU_HKSCS"/>
          <w:color w:val="auto"/>
          <w:highlight w:val="none"/>
        </w:rPr>
        <w:t>，</w:t>
      </w:r>
      <w:r>
        <w:rPr>
          <w:rFonts w:hint="eastAsia" w:ascii="Times New Roman" w:hAnsi="Times New Roman"/>
          <w:color w:val="auto"/>
          <w:highlight w:val="none"/>
        </w:rPr>
        <w:t>计算至元</w:t>
      </w:r>
      <w:r>
        <w:rPr>
          <w:rFonts w:ascii="Times New Roman" w:hAnsi="Times New Roman" w:cs="Times New Roman"/>
          <w:color w:val="auto"/>
          <w:highlight w:val="none"/>
        </w:rPr>
        <w:t>)</w:t>
      </w:r>
      <w:r>
        <w:rPr>
          <w:rFonts w:hint="eastAsia" w:asciiTheme="minorEastAsia" w:hAnsiTheme="minorEastAsia" w:eastAsiaTheme="minorEastAsia" w:cstheme="minorEastAsia"/>
          <w:color w:val="auto"/>
          <w:kern w:val="0"/>
          <w:szCs w:val="21"/>
          <w:highlight w:val="none"/>
        </w:rPr>
        <w:t>。磋商保证金有效期应当与本章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规定的磋商响应有效期一致。</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未按磋商文件</w:t>
      </w:r>
      <w:r>
        <w:rPr>
          <w:rFonts w:hint="eastAsia" w:asciiTheme="minorEastAsia" w:hAnsiTheme="minorEastAsia" w:eastAsiaTheme="minorEastAsia" w:cstheme="minorEastAsia"/>
          <w:color w:val="auto"/>
          <w:kern w:val="0"/>
          <w:szCs w:val="21"/>
          <w:highlight w:val="none"/>
          <w:lang w:val="en-US" w:eastAsia="zh-CN"/>
        </w:rPr>
        <w:t>要求</w:t>
      </w:r>
      <w:r>
        <w:rPr>
          <w:rFonts w:hint="eastAsia" w:asciiTheme="minorEastAsia" w:hAnsiTheme="minorEastAsia" w:eastAsiaTheme="minorEastAsia" w:cstheme="minorEastAsia"/>
          <w:color w:val="auto"/>
          <w:kern w:val="0"/>
          <w:szCs w:val="21"/>
          <w:highlight w:val="none"/>
        </w:rPr>
        <w:t>提交磋商保证金的，采购人或采购代理机构应当拒绝接收供应商的响应文件</w:t>
      </w:r>
      <w:r>
        <w:rPr>
          <w:rFonts w:hint="eastAsia" w:ascii="Times New Roman" w:hAnsi="Times New Roman"/>
          <w:color w:val="auto"/>
          <w:highlight w:val="none"/>
        </w:rPr>
        <w:t>或</w:t>
      </w:r>
      <w:r>
        <w:rPr>
          <w:rFonts w:hint="eastAsia"/>
          <w:color w:val="auto"/>
          <w:highlight w:val="none"/>
          <w:lang w:val="en-US" w:eastAsia="zh-CN"/>
        </w:rPr>
        <w:t>磋商小组</w:t>
      </w:r>
      <w:r>
        <w:rPr>
          <w:rFonts w:hint="eastAsia" w:ascii="Times New Roman" w:hAnsi="Times New Roman"/>
          <w:color w:val="auto"/>
          <w:highlight w:val="none"/>
        </w:rPr>
        <w:t>在</w:t>
      </w:r>
      <w:r>
        <w:rPr>
          <w:rFonts w:hint="eastAsia"/>
          <w:color w:val="auto"/>
          <w:highlight w:val="none"/>
          <w:lang w:val="en-US" w:eastAsia="zh-CN"/>
        </w:rPr>
        <w:t>评审</w:t>
      </w:r>
      <w:r>
        <w:rPr>
          <w:rFonts w:hint="eastAsia" w:ascii="Times New Roman" w:hAnsi="Times New Roman"/>
          <w:color w:val="auto"/>
          <w:highlight w:val="none"/>
        </w:rPr>
        <w:t>时将其视为无效</w:t>
      </w:r>
      <w:r>
        <w:rPr>
          <w:rFonts w:hint="eastAsia"/>
          <w:color w:val="auto"/>
          <w:highlight w:val="none"/>
          <w:lang w:val="en-US" w:eastAsia="zh-CN"/>
        </w:rPr>
        <w:t>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16.3　供应商为联合体的，可以由联合体中的一方或者共同交纳</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w:t>
      </w:r>
      <w:r>
        <w:rPr>
          <w:rFonts w:hint="eastAsia" w:ascii="Times New Roman" w:hAnsi="Times New Roman"/>
          <w:color w:val="auto"/>
          <w:highlight w:val="none"/>
        </w:rPr>
        <w:t>以一方名义提交</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，对联合体各方均具有约束力。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16.4　未成交供应商的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保证金，在成交通知书发出后5个工作日内退还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但因供应商自身原因导致无法及时退还的除外。</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16.5</w:t>
      </w:r>
      <w:r>
        <w:rPr>
          <w:rFonts w:hint="eastAsia" w:asciiTheme="minorEastAsia" w:hAnsiTheme="minorEastAsia" w:eastAsiaTheme="minorEastAsia" w:cstheme="minorEastAsia"/>
          <w:color w:val="auto"/>
          <w:kern w:val="0"/>
          <w:szCs w:val="21"/>
          <w:highlight w:val="none"/>
        </w:rPr>
        <w:t>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保证金，将在采购合同签订后5个工作日内退还，但因供应商自身原因导致无法及时退还的除外。</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有下列情形之一的，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(1)供应商在提交响应文件截止时间后撤回响应文件的；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(2)供应商在响应文件中提供虚假材料的；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(3)除因不可抗力或磋商文件认可的情形以外，成交供应商不与采购人签订合同的；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(4)供应商与采购人、其他供应商或者采购代理机构恶意串通的；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(5)磋商文件规定的其他情形。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17.磋商响应有效期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17.1　磋商响应有效期见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，在此期间响应文件对供应商具有法律约束力</w:t>
      </w:r>
      <w:r>
        <w:rPr>
          <w:rFonts w:hint="eastAsia" w:ascii="Times New Roman" w:hAnsi="Times New Roman" w:cs="MingLiU_HKSCS"/>
          <w:color w:val="auto"/>
          <w:highlight w:val="none"/>
        </w:rPr>
        <w:t>，</w:t>
      </w:r>
      <w:r>
        <w:rPr>
          <w:rFonts w:hint="eastAsia" w:ascii="Times New Roman" w:hAnsi="Times New Roman"/>
          <w:color w:val="auto"/>
          <w:highlight w:val="none"/>
        </w:rPr>
        <w:t>以保证采购人有足够的时间完成</w:t>
      </w:r>
      <w:r>
        <w:rPr>
          <w:rFonts w:hint="eastAsia" w:ascii="Times New Roman" w:hAnsi="Times New Roman"/>
          <w:color w:val="auto"/>
          <w:highlight w:val="none"/>
          <w:lang w:eastAsia="zh-CN"/>
        </w:rPr>
        <w:t>评审</w:t>
      </w:r>
      <w:r>
        <w:rPr>
          <w:rFonts w:hint="eastAsia" w:ascii="Times New Roman" w:hAnsi="Times New Roman"/>
          <w:color w:val="auto"/>
          <w:highlight w:val="none"/>
        </w:rPr>
        <w:t>、</w:t>
      </w:r>
      <w:r>
        <w:rPr>
          <w:rFonts w:hint="eastAsia" w:ascii="Times New Roman" w:hAnsi="Times New Roman"/>
          <w:color w:val="auto"/>
          <w:highlight w:val="none"/>
          <w:lang w:eastAsia="zh-CN"/>
        </w:rPr>
        <w:t>确定成交供应商</w:t>
      </w:r>
      <w:r>
        <w:rPr>
          <w:rFonts w:hint="eastAsia" w:ascii="Times New Roman" w:hAnsi="Times New Roman"/>
          <w:color w:val="auto"/>
          <w:highlight w:val="none"/>
        </w:rPr>
        <w:t>以及签订合同</w:t>
      </w:r>
      <w:r>
        <w:rPr>
          <w:rFonts w:hint="eastAsia" w:asciiTheme="minorEastAsia" w:hAnsiTheme="minorEastAsia" w:eastAsiaTheme="minorEastAsia" w:cstheme="minorEastAsia"/>
          <w:color w:val="auto"/>
          <w:kern w:val="0"/>
          <w:szCs w:val="21"/>
          <w:highlight w:val="none"/>
        </w:rPr>
        <w:t>。响应文件有效期从</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规定的提交首次响应文件截止时间之日起计算。磋商响应有效期不足的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在评审时</w:t>
      </w:r>
      <w:r>
        <w:rPr>
          <w:rFonts w:hint="eastAsia" w:asciiTheme="minorEastAsia" w:hAnsiTheme="minorEastAsia" w:eastAsiaTheme="minorEastAsia" w:cstheme="minorEastAsia"/>
          <w:color w:val="auto"/>
          <w:kern w:val="0"/>
          <w:szCs w:val="21"/>
          <w:highlight w:val="none"/>
        </w:rPr>
        <w:t>将</w:t>
      </w:r>
      <w:r>
        <w:rPr>
          <w:rFonts w:hint="eastAsia" w:asciiTheme="minorEastAsia" w:hAnsiTheme="minorEastAsia" w:eastAsiaTheme="minorEastAsia" w:cstheme="minorEastAsia"/>
          <w:color w:val="auto"/>
          <w:kern w:val="0"/>
          <w:szCs w:val="21"/>
          <w:highlight w:val="none"/>
          <w:lang w:val="en-US" w:eastAsia="zh-CN"/>
        </w:rPr>
        <w:t>其</w:t>
      </w:r>
      <w:r>
        <w:rPr>
          <w:rFonts w:hint="eastAsia" w:asciiTheme="minorEastAsia" w:hAnsiTheme="minorEastAsia" w:eastAsiaTheme="minorEastAsia" w:cstheme="minorEastAsia"/>
          <w:color w:val="auto"/>
          <w:kern w:val="0"/>
          <w:szCs w:val="21"/>
          <w:highlight w:val="none"/>
        </w:rPr>
        <w:t>视为无效响应。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★17.2　特殊情况需延长磋商响应有效期的，采购人或采购代理机构可于磋商响应有效期届满之前，要求供应商同意延长有效期，采购人或采购代理机构的要求与供应商的答复均应为书面形式。供应商拒绝延长的，其响应在原磋商响应有效期届满后将不再有效，但有权收回其磋商保证金；供应商同意延长的，应相应延长其磋商保证金的有效期，但不允许修改或撤回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18.响应文件的签署及规定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18.1　供应商应根据</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规定提交响应文件。纸质文件的正本和副本应装订成册。正本和副本的封面上应标记“正本”或“副本”的字样，当正本和副本</w:t>
      </w:r>
      <w:r>
        <w:rPr>
          <w:rFonts w:hint="eastAsia" w:ascii="Times New Roman" w:hAnsi="Times New Roman"/>
          <w:color w:val="auto"/>
          <w:highlight w:val="none"/>
        </w:rPr>
        <w:t>、电子版不一致时</w:t>
      </w:r>
      <w:r>
        <w:rPr>
          <w:rFonts w:hint="eastAsia" w:asciiTheme="minorEastAsia" w:hAnsiTheme="minorEastAsia" w:eastAsiaTheme="minorEastAsia" w:cstheme="minorEastAsia"/>
          <w:color w:val="auto"/>
          <w:kern w:val="0"/>
          <w:szCs w:val="21"/>
          <w:highlight w:val="none"/>
        </w:rPr>
        <w:t>，以正本为准。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18.2　响应文件应用不褪色的材料打印或书写，并按磋商文件要求在签字盖章处盖公章和由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或其授权代表签字。响应文件中的任何</w:t>
      </w:r>
      <w:r>
        <w:rPr>
          <w:rFonts w:hint="eastAsia" w:ascii="Times New Roman" w:hAnsi="Times New Roman"/>
          <w:color w:val="auto"/>
          <w:highlight w:val="none"/>
        </w:rPr>
        <w:t>行间插字、涂改和增删</w:t>
      </w:r>
      <w:r>
        <w:rPr>
          <w:rFonts w:hint="eastAsia" w:asciiTheme="minorEastAsia" w:hAnsiTheme="minorEastAsia" w:eastAsiaTheme="minorEastAsia" w:cstheme="minorEastAsia"/>
          <w:color w:val="auto"/>
          <w:kern w:val="0"/>
          <w:szCs w:val="21"/>
          <w:highlight w:val="none"/>
        </w:rPr>
        <w:t>，应加盖单位公章或由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或其授权代表签字确认。否则，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18.3　在磋商过程中，供应商按磋商文件规定和磋商小组要求重新提交的响应文件和最后报价，应打印或用不褪色墨水书写，并由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19.响应文件的密封和标记</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19.1　响应文件</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密封、标记详见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19.2　</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文件封套或外包装上应载明的内容见</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响应文件如果未按上述规定密封和标记，采购人或采购代理机构应当拒绝接收。</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19.</w:t>
      </w:r>
      <w:r>
        <w:rPr>
          <w:rFonts w:hint="eastAsia" w:asciiTheme="minorEastAsia" w:hAnsiTheme="minorEastAsia" w:eastAsiaTheme="minorEastAsia" w:cstheme="minorEastAsia"/>
          <w:b/>
          <w:bCs/>
          <w:color w:val="auto"/>
          <w:kern w:val="0"/>
          <w:szCs w:val="21"/>
          <w:highlight w:val="none"/>
          <w:lang w:val="en-US" w:eastAsia="zh-CN"/>
        </w:rPr>
        <w:t>4</w:t>
      </w:r>
      <w:r>
        <w:rPr>
          <w:rFonts w:hint="eastAsia" w:asciiTheme="minorEastAsia" w:hAnsiTheme="minorEastAsia" w:eastAsiaTheme="minorEastAsia" w:cstheme="minorEastAsia"/>
          <w:b/>
          <w:bCs/>
          <w:color w:val="auto"/>
          <w:kern w:val="0"/>
          <w:szCs w:val="21"/>
          <w:highlight w:val="none"/>
        </w:rPr>
        <w:t xml:space="preserve">  采购人或采购代理机构不得因装订、纸张、文件排序等非实质性的格式、形式问题限制和影响供应商响应。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20.响应文件的递交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20.1　响应文件应在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w:t>
      </w:r>
      <w:r>
        <w:rPr>
          <w:rFonts w:hint="eastAsia" w:asciiTheme="minorEastAsia" w:hAnsiTheme="minorEastAsia" w:eastAsiaTheme="minorEastAsia" w:cstheme="minorEastAsia"/>
          <w:color w:val="auto"/>
          <w:kern w:val="0"/>
          <w:szCs w:val="21"/>
          <w:highlight w:val="none"/>
          <w:lang w:val="en-US" w:eastAsia="zh-CN"/>
        </w:rPr>
        <w:t>响应文件递交截止</w:t>
      </w:r>
      <w:r>
        <w:rPr>
          <w:rFonts w:hint="eastAsia" w:asciiTheme="minorEastAsia" w:hAnsiTheme="minorEastAsia" w:eastAsiaTheme="minorEastAsia" w:cstheme="minorEastAsia"/>
          <w:color w:val="auto"/>
          <w:kern w:val="0"/>
          <w:szCs w:val="21"/>
          <w:highlight w:val="none"/>
        </w:rPr>
        <w:t>时间</w:t>
      </w:r>
      <w:r>
        <w:rPr>
          <w:rFonts w:hint="eastAsia" w:asciiTheme="minorEastAsia" w:hAnsiTheme="minorEastAsia" w:eastAsiaTheme="minorEastAsia" w:cstheme="minorEastAsia"/>
          <w:color w:val="auto"/>
          <w:kern w:val="0"/>
          <w:szCs w:val="21"/>
          <w:highlight w:val="none"/>
          <w:lang w:val="en-US" w:eastAsia="zh-CN"/>
        </w:rPr>
        <w:t>之前密封送到</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指定</w:t>
      </w:r>
      <w:r>
        <w:rPr>
          <w:rFonts w:hint="eastAsia" w:asciiTheme="minorEastAsia" w:hAnsiTheme="minorEastAsia" w:eastAsiaTheme="minorEastAsia" w:cstheme="minorEastAsia"/>
          <w:color w:val="auto"/>
          <w:kern w:val="0"/>
          <w:szCs w:val="21"/>
          <w:highlight w:val="none"/>
          <w:lang w:val="en-US" w:eastAsia="zh-CN"/>
        </w:rPr>
        <w:t>的</w:t>
      </w:r>
      <w:r>
        <w:rPr>
          <w:rFonts w:hint="eastAsia" w:asciiTheme="minorEastAsia" w:hAnsiTheme="minorEastAsia" w:eastAsiaTheme="minorEastAsia" w:cstheme="minorEastAsia"/>
          <w:color w:val="auto"/>
          <w:kern w:val="0"/>
          <w:szCs w:val="21"/>
          <w:highlight w:val="none"/>
        </w:rPr>
        <w:t>地点。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采购人或者采购代理机构收到</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文件后，应当如实记载</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文件的送达时间和密封情况，签收保存，并向</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出具签收回执。任何单位和个人不得在</w:t>
      </w:r>
      <w:r>
        <w:rPr>
          <w:rFonts w:hint="eastAsia" w:asciiTheme="minorEastAsia" w:hAnsiTheme="minorEastAsia" w:eastAsiaTheme="minorEastAsia" w:cstheme="minorEastAsia"/>
          <w:color w:val="auto"/>
          <w:kern w:val="0"/>
          <w:szCs w:val="21"/>
          <w:highlight w:val="none"/>
          <w:lang w:val="en-US" w:eastAsia="zh-CN"/>
        </w:rPr>
        <w:t>响应文件开启时间</w:t>
      </w:r>
      <w:r>
        <w:rPr>
          <w:rFonts w:hint="eastAsia" w:asciiTheme="minorEastAsia" w:hAnsiTheme="minorEastAsia" w:eastAsiaTheme="minorEastAsia" w:cstheme="minorEastAsia"/>
          <w:color w:val="auto"/>
          <w:kern w:val="0"/>
          <w:szCs w:val="21"/>
          <w:highlight w:val="none"/>
        </w:rPr>
        <w:t>前开启</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20.2　</w:t>
      </w:r>
      <w:r>
        <w:rPr>
          <w:rFonts w:hint="eastAsia" w:ascii="Times New Roman" w:hAnsi="Times New Roman"/>
          <w:color w:val="auto"/>
          <w:highlight w:val="none"/>
        </w:rPr>
        <w:t>逾期送达或者未按照</w:t>
      </w:r>
      <w:r>
        <w:rPr>
          <w:rFonts w:hint="eastAsia"/>
          <w:color w:val="auto"/>
          <w:highlight w:val="none"/>
          <w:lang w:val="en-US" w:eastAsia="zh-CN"/>
        </w:rPr>
        <w:t>磋商</w:t>
      </w:r>
      <w:r>
        <w:rPr>
          <w:rFonts w:hint="eastAsia" w:ascii="Times New Roman" w:hAnsi="Times New Roman"/>
          <w:color w:val="auto"/>
          <w:highlight w:val="none"/>
        </w:rPr>
        <w:t>文件要求密封的</w:t>
      </w:r>
      <w:r>
        <w:rPr>
          <w:rFonts w:hint="eastAsia" w:asciiTheme="minorEastAsia" w:hAnsiTheme="minorEastAsia" w:eastAsiaTheme="minorEastAsia" w:cstheme="minorEastAsia"/>
          <w:color w:val="auto"/>
          <w:kern w:val="0"/>
          <w:szCs w:val="21"/>
          <w:highlight w:val="none"/>
        </w:rPr>
        <w:t>响应文件，</w:t>
      </w:r>
      <w:r>
        <w:rPr>
          <w:rFonts w:hint="eastAsia" w:ascii="Times New Roman" w:hAnsi="Times New Roman"/>
          <w:color w:val="auto"/>
          <w:highlight w:val="none"/>
        </w:rPr>
        <w:t>采购人、采购代理机构应当拒收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21.响应文件的补充、修改或者撤回</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　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规定的提交首次响应文件截止时间前，供应商可以</w:t>
      </w:r>
      <w:r>
        <w:rPr>
          <w:rFonts w:hint="eastAsia" w:asciiTheme="minorEastAsia" w:hAnsiTheme="minorEastAsia" w:eastAsiaTheme="minorEastAsia" w:cstheme="minorEastAsia"/>
          <w:color w:val="auto"/>
          <w:kern w:val="0"/>
          <w:szCs w:val="21"/>
          <w:highlight w:val="none"/>
          <w:lang w:val="en-US" w:eastAsia="zh-CN"/>
        </w:rPr>
        <w:t>书面形式修改、补充或撤回已递交的响应文件</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但应以书面形式</w:t>
      </w:r>
      <w:r>
        <w:rPr>
          <w:rFonts w:hint="eastAsia" w:asciiTheme="minorEastAsia" w:hAnsiTheme="minorEastAsia" w:eastAsiaTheme="minorEastAsia" w:cstheme="minorEastAsia"/>
          <w:color w:val="auto"/>
          <w:kern w:val="0"/>
          <w:szCs w:val="21"/>
          <w:highlight w:val="none"/>
        </w:rPr>
        <w:t>通知采购人或采购代理机构。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21.2　修改、补充的内容为</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文件的组成部分。修改、补充的</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文件应按本章第18、19、20项规定编制、签署、密封、标记和递交，并标明“修改、补充”字样。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21.3　</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按本章21.1款撤回</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文件的，采购人或采购代理机构自收到</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书面撤回通知之日起5个工作日内，退还已收取的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保证金，但因</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自身原因导致无法及时退还的除外。</w:t>
      </w:r>
    </w:p>
    <w:p>
      <w:pPr>
        <w:pStyle w:val="2"/>
        <w:ind w:firstLine="420" w:firstLineChars="200"/>
        <w:rPr>
          <w:rFonts w:hint="eastAsia"/>
          <w:b w:val="0"/>
          <w:bCs w:val="0"/>
          <w:color w:val="auto"/>
          <w:highlight w:val="none"/>
        </w:rPr>
      </w:pPr>
      <w:r>
        <w:rPr>
          <w:rFonts w:hint="eastAsia"/>
          <w:b w:val="0"/>
          <w:bCs w:val="0"/>
          <w:color w:val="auto"/>
          <w:highlight w:val="none"/>
        </w:rPr>
        <w:t>21.4　</w:t>
      </w:r>
      <w:r>
        <w:rPr>
          <w:rFonts w:hint="eastAsia"/>
          <w:b w:val="0"/>
          <w:bCs w:val="0"/>
          <w:color w:val="auto"/>
          <w:highlight w:val="none"/>
          <w:lang w:eastAsia="zh-CN"/>
        </w:rPr>
        <w:t>供应商</w:t>
      </w:r>
      <w:r>
        <w:rPr>
          <w:rFonts w:hint="eastAsia"/>
          <w:b w:val="0"/>
          <w:bCs w:val="0"/>
          <w:color w:val="auto"/>
          <w:highlight w:val="none"/>
        </w:rPr>
        <w:t>在</w:t>
      </w:r>
      <w:r>
        <w:rPr>
          <w:rFonts w:hint="eastAsia"/>
          <w:b w:val="0"/>
          <w:bCs w:val="0"/>
          <w:color w:val="auto"/>
          <w:highlight w:val="none"/>
          <w:lang w:eastAsia="zh-CN"/>
        </w:rPr>
        <w:t>磋商</w:t>
      </w:r>
      <w:r>
        <w:rPr>
          <w:rFonts w:hint="eastAsia"/>
          <w:b w:val="0"/>
          <w:bCs w:val="0"/>
          <w:color w:val="auto"/>
          <w:highlight w:val="none"/>
        </w:rPr>
        <w:t>有效期内不得修改、撤销其</w:t>
      </w:r>
      <w:r>
        <w:rPr>
          <w:rFonts w:hint="eastAsia"/>
          <w:b w:val="0"/>
          <w:bCs w:val="0"/>
          <w:color w:val="auto"/>
          <w:highlight w:val="none"/>
          <w:lang w:eastAsia="zh-CN"/>
        </w:rPr>
        <w:t>响应</w:t>
      </w:r>
      <w:r>
        <w:rPr>
          <w:rFonts w:hint="eastAsia"/>
          <w:b w:val="0"/>
          <w:bCs w:val="0"/>
          <w:color w:val="auto"/>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四、磋商与评审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22.磋商小组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22.1　磋商与评审由依法组建的磋商小组负责，磋商小组由采购人代表和评审专家组成。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23.初步审查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磋商小组应当对供应商提交的首次响应文件进行初步审查，包括响应文件的有效性、完整性、符合性。除可变动的技术、服务要求以及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外，首次提交的响应文件有下列情况之一，其响应文件无效，磋商小组应当告知有关供应商。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(1)供应商未按照磋商文件规定提交磋商保证金的；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(2)未按照磋商文件规定要求密封、签署、盖章的；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(3)响应有效期不足的；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(4)供应商不满足磋商文件供应商资格条件或未按照磋商文件规定提供资格证明材料的；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(6)供应商存在失信记录的：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asciiTheme="minorEastAsia" w:hAnsiTheme="minorEastAsia" w:eastAsiaTheme="minorEastAsia" w:cstheme="minorEastAsia"/>
          <w:color w:val="auto"/>
          <w:kern w:val="0"/>
          <w:szCs w:val="21"/>
          <w:highlight w:val="none"/>
          <w:lang w:eastAsia="zh-CN"/>
        </w:rPr>
        <w:t>供应商资格条件第</w:t>
      </w:r>
      <w:r>
        <w:rPr>
          <w:rFonts w:hint="eastAsia" w:asciiTheme="minorEastAsia" w:hAnsiTheme="minorEastAsia" w:eastAsiaTheme="minorEastAsia" w:cstheme="minorEastAsia"/>
          <w:color w:val="auto"/>
          <w:kern w:val="0"/>
          <w:szCs w:val="21"/>
          <w:highlight w:val="none"/>
          <w:lang w:val="en-US" w:eastAsia="zh-CN"/>
        </w:rPr>
        <w:t>1项</w:t>
      </w:r>
      <w:r>
        <w:rPr>
          <w:rFonts w:hint="eastAsia" w:asciiTheme="minorEastAsia" w:hAnsiTheme="minorEastAsia" w:eastAsiaTheme="minorEastAsia" w:cstheme="minorEastAsia"/>
          <w:color w:val="auto"/>
          <w:kern w:val="0"/>
          <w:szCs w:val="21"/>
          <w:highlight w:val="none"/>
          <w:lang w:eastAsia="zh-CN"/>
        </w:rPr>
        <w:t>条款</w:t>
      </w:r>
      <w:r>
        <w:rPr>
          <w:rFonts w:hint="eastAsia" w:asciiTheme="minorEastAsia" w:hAnsiTheme="minorEastAsia" w:eastAsiaTheme="minorEastAsia" w:cstheme="minorEastAsia"/>
          <w:color w:val="auto"/>
          <w:kern w:val="0"/>
          <w:szCs w:val="21"/>
          <w:highlight w:val="none"/>
        </w:rPr>
        <w:t>的情况。</w:t>
      </w:r>
      <w:r>
        <w:rPr>
          <w:rFonts w:hint="eastAsia" w:hAnsi="宋体" w:cs="Times New Roman"/>
          <w:color w:val="auto"/>
          <w:highlight w:val="none"/>
        </w:rPr>
        <w:t>两个以上的自然人、法人或者其他组织组成一个联合体，以一个供应商的身份共同参加采购活动的，应当对所有联合体成员进行信</w:t>
      </w:r>
      <w:r>
        <w:rPr>
          <w:rFonts w:hint="eastAsia" w:ascii="Times New Roman" w:hAnsi="Times New Roman"/>
          <w:color w:val="auto"/>
          <w:highlight w:val="none"/>
        </w:rPr>
        <w:t>用记录查询，联合体成员存在不良信用记录的，视同联合体存在不良信用记录。</w:t>
      </w:r>
      <w:r>
        <w:rPr>
          <w:rFonts w:hint="eastAsia" w:asciiTheme="minorEastAsia" w:hAnsiTheme="minorEastAsia" w:eastAsiaTheme="minorEastAsia" w:cstheme="minorEastAsia"/>
          <w:color w:val="auto"/>
          <w:kern w:val="0"/>
          <w:szCs w:val="21"/>
          <w:highlight w:val="none"/>
        </w:rPr>
        <w:t>失信情况查询</w:t>
      </w:r>
      <w:r>
        <w:rPr>
          <w:rFonts w:hint="eastAsia" w:asciiTheme="minorEastAsia" w:hAnsiTheme="minorEastAsia" w:eastAsiaTheme="minorEastAsia" w:cstheme="minorEastAsia"/>
          <w:color w:val="auto"/>
          <w:kern w:val="0"/>
          <w:szCs w:val="21"/>
          <w:highlight w:val="none"/>
          <w:lang w:val="en-US" w:eastAsia="zh-CN"/>
        </w:rPr>
        <w:t>方法</w:t>
      </w:r>
      <w:r>
        <w:rPr>
          <w:rFonts w:hint="eastAsia" w:asciiTheme="minorEastAsia" w:hAnsiTheme="minorEastAsia" w:eastAsiaTheme="minorEastAsia" w:cstheme="minorEastAsia"/>
          <w:color w:val="auto"/>
          <w:kern w:val="0"/>
          <w:szCs w:val="21"/>
          <w:highlight w:val="none"/>
        </w:rPr>
        <w:t>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(7)其他不符合法律、规章、规范性文件和磋商文件规定的。</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hint="eastAsia" w:ascii="Times New Roman" w:hAnsi="Times New Roman"/>
          <w:color w:val="auto"/>
          <w:sz w:val="21"/>
          <w:szCs w:val="21"/>
          <w:highlight w:val="none"/>
        </w:rPr>
        <w:t>23.2　已经进行资格预审的，可以不再对供应商资格进行审查，资格预审合格的供应商在评审阶段资格发生变化的，应当通知采购人和采购代理机构。</w:t>
      </w:r>
    </w:p>
    <w:p>
      <w:pPr>
        <w:pStyle w:val="20"/>
        <w:spacing w:line="44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color w:val="auto"/>
          <w:sz w:val="21"/>
          <w:szCs w:val="21"/>
          <w:highlight w:val="none"/>
          <w:lang w:val="en-US" w:eastAsia="zh-CN"/>
        </w:rPr>
        <w:t>4.</w:t>
      </w:r>
      <w:r>
        <w:rPr>
          <w:rFonts w:hint="eastAsia" w:ascii="Times New Roman" w:hAnsi="Times New Roman"/>
          <w:color w:val="auto"/>
          <w:sz w:val="21"/>
          <w:szCs w:val="21"/>
          <w:highlight w:val="none"/>
        </w:rPr>
        <w:t>核价原则</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hint="eastAsia" w:ascii="Times New Roman"/>
          <w:color w:val="auto"/>
          <w:sz w:val="21"/>
          <w:szCs w:val="21"/>
          <w:highlight w:val="none"/>
          <w:lang w:val="en-US" w:eastAsia="zh-CN"/>
        </w:rPr>
        <w:t>首次递交的</w:t>
      </w:r>
      <w:r>
        <w:rPr>
          <w:rFonts w:hint="eastAsia" w:ascii="Times New Roman" w:hAnsi="Times New Roman"/>
          <w:color w:val="auto"/>
          <w:sz w:val="21"/>
          <w:szCs w:val="21"/>
          <w:highlight w:val="none"/>
        </w:rPr>
        <w:t>报价出现前后不一致的，除</w:t>
      </w:r>
      <w:r>
        <w:rPr>
          <w:rFonts w:hint="eastAsia" w:ascii="Times New Roman"/>
          <w:color w:val="auto"/>
          <w:sz w:val="21"/>
          <w:szCs w:val="21"/>
          <w:highlight w:val="none"/>
          <w:lang w:val="en-US" w:eastAsia="zh-CN"/>
        </w:rPr>
        <w:t>磋商</w:t>
      </w:r>
      <w:r>
        <w:rPr>
          <w:rFonts w:hint="eastAsia" w:ascii="Times New Roman" w:hAnsi="Times New Roman"/>
          <w:color w:val="auto"/>
          <w:sz w:val="21"/>
          <w:szCs w:val="21"/>
          <w:highlight w:val="none"/>
        </w:rPr>
        <w:t>文件另有规定外</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按照下列规定修正：</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ascii="Times New Roman" w:hAnsi="Times New Roman" w:cs="Times New Roman"/>
          <w:color w:val="auto"/>
          <w:sz w:val="21"/>
          <w:szCs w:val="21"/>
          <w:highlight w:val="none"/>
        </w:rPr>
        <w:t>(1)</w:t>
      </w:r>
      <w:r>
        <w:rPr>
          <w:rFonts w:hint="eastAsia" w:ascii="Times New Roman"/>
          <w:color w:val="auto"/>
          <w:sz w:val="21"/>
          <w:szCs w:val="21"/>
          <w:highlight w:val="none"/>
          <w:lang w:val="en-US" w:eastAsia="zh-CN"/>
        </w:rPr>
        <w:t>磋商</w:t>
      </w:r>
      <w:r>
        <w:rPr>
          <w:rFonts w:hint="eastAsia" w:ascii="Times New Roman" w:hAnsi="Times New Roman"/>
          <w:color w:val="auto"/>
          <w:sz w:val="21"/>
          <w:szCs w:val="21"/>
          <w:highlight w:val="none"/>
        </w:rPr>
        <w:t>文件中报价表内容与</w:t>
      </w:r>
      <w:r>
        <w:rPr>
          <w:rFonts w:hint="eastAsia" w:ascii="Times New Roman"/>
          <w:color w:val="auto"/>
          <w:sz w:val="21"/>
          <w:szCs w:val="21"/>
          <w:highlight w:val="none"/>
          <w:lang w:val="en-US" w:eastAsia="zh-CN"/>
        </w:rPr>
        <w:t>磋商</w:t>
      </w:r>
      <w:r>
        <w:rPr>
          <w:rFonts w:hint="eastAsia" w:ascii="Times New Roman" w:hAnsi="Times New Roman"/>
          <w:color w:val="auto"/>
          <w:sz w:val="21"/>
          <w:szCs w:val="21"/>
          <w:highlight w:val="none"/>
        </w:rPr>
        <w:t>文件中相应内容不一致的</w:t>
      </w:r>
      <w:r>
        <w:rPr>
          <w:rFonts w:hint="eastAsia" w:ascii="Times New Roman" w:hAnsi="Times New Roman" w:eastAsia="MingLiU_HKSCS" w:cs="MingLiU_HKSCS"/>
          <w:color w:val="auto"/>
          <w:sz w:val="21"/>
          <w:szCs w:val="21"/>
          <w:highlight w:val="none"/>
        </w:rPr>
        <w:t>，</w:t>
      </w:r>
      <w:r>
        <w:rPr>
          <w:rFonts w:hint="eastAsia" w:ascii="Times New Roman" w:hAnsi="Times New Roman"/>
          <w:color w:val="auto"/>
          <w:sz w:val="21"/>
          <w:szCs w:val="21"/>
          <w:highlight w:val="none"/>
        </w:rPr>
        <w:t>以报价表为准；</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ascii="Times New Roman" w:hAnsi="Times New Roman" w:cs="Times New Roman"/>
          <w:color w:val="auto"/>
          <w:sz w:val="21"/>
          <w:szCs w:val="21"/>
          <w:highlight w:val="none"/>
        </w:rPr>
        <w:t>(2)</w:t>
      </w:r>
      <w:r>
        <w:rPr>
          <w:rFonts w:hint="eastAsia" w:ascii="Times New Roman" w:hAnsi="Times New Roman"/>
          <w:color w:val="auto"/>
          <w:sz w:val="21"/>
          <w:szCs w:val="21"/>
          <w:highlight w:val="none"/>
        </w:rPr>
        <w:t>大写金额和小写金额不一致的</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以大写金额为准；</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ascii="Times New Roman" w:hAnsi="Times New Roman" w:cs="Times New Roman"/>
          <w:color w:val="auto"/>
          <w:sz w:val="21"/>
          <w:szCs w:val="21"/>
          <w:highlight w:val="none"/>
        </w:rPr>
        <w:t>(3)</w:t>
      </w:r>
      <w:r>
        <w:rPr>
          <w:rFonts w:hint="eastAsia" w:ascii="Times New Roman" w:hAnsi="Times New Roman"/>
          <w:color w:val="auto"/>
          <w:sz w:val="21"/>
          <w:szCs w:val="21"/>
          <w:highlight w:val="none"/>
        </w:rPr>
        <w:t>单价金额小数点或者百分比有明显错位的</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以报价表的总价为准</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并修改单价；</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ascii="Times New Roman" w:hAnsi="Times New Roman" w:cs="Times New Roman"/>
          <w:color w:val="auto"/>
          <w:sz w:val="21"/>
          <w:szCs w:val="21"/>
          <w:highlight w:val="none"/>
        </w:rPr>
        <w:t>(4)</w:t>
      </w:r>
      <w:r>
        <w:rPr>
          <w:rFonts w:hint="eastAsia" w:ascii="Times New Roman" w:hAnsi="Times New Roman"/>
          <w:color w:val="auto"/>
          <w:sz w:val="21"/>
          <w:szCs w:val="21"/>
          <w:highlight w:val="none"/>
        </w:rPr>
        <w:t>总价金额与按单价汇总金额不一致的</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以单价金额计算结果为准。</w:t>
      </w:r>
    </w:p>
    <w:p>
      <w:pPr>
        <w:pStyle w:val="20"/>
        <w:spacing w:line="440" w:lineRule="exact"/>
        <w:ind w:firstLine="420" w:firstLineChars="200"/>
        <w:rPr>
          <w:rFonts w:ascii="Times New Roman" w:hAnsi="Times New Roman" w:eastAsia="MingLiU_HKSCS" w:cs="Times New Roman"/>
          <w:color w:val="auto"/>
          <w:sz w:val="21"/>
          <w:szCs w:val="21"/>
          <w:highlight w:val="none"/>
        </w:rPr>
      </w:pPr>
      <w:r>
        <w:rPr>
          <w:rFonts w:hint="eastAsia" w:hAnsi="宋体"/>
          <w:color w:val="auto"/>
          <w:sz w:val="21"/>
          <w:szCs w:val="21"/>
          <w:highlight w:val="none"/>
        </w:rPr>
        <w:t>★</w:t>
      </w:r>
      <w:r>
        <w:rPr>
          <w:rFonts w:hint="eastAsia" w:ascii="Times New Roman" w:hAnsi="Times New Roman"/>
          <w:color w:val="auto"/>
          <w:sz w:val="21"/>
          <w:szCs w:val="21"/>
          <w:highlight w:val="none"/>
        </w:rPr>
        <w:t>同时出现两种以上不一致的</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按照前款规定的顺序修正。修正后的报价按照上述规定经</w:t>
      </w:r>
      <w:r>
        <w:rPr>
          <w:rFonts w:hint="eastAsia" w:ascii="Times New Roman"/>
          <w:color w:val="auto"/>
          <w:sz w:val="21"/>
          <w:szCs w:val="21"/>
          <w:highlight w:val="none"/>
          <w:lang w:val="en-US" w:eastAsia="zh-CN"/>
        </w:rPr>
        <w:t>供应商</w:t>
      </w:r>
      <w:r>
        <w:rPr>
          <w:rFonts w:hint="eastAsia" w:ascii="Times New Roman" w:hAnsi="Times New Roman"/>
          <w:color w:val="auto"/>
          <w:sz w:val="21"/>
          <w:szCs w:val="21"/>
          <w:highlight w:val="none"/>
        </w:rPr>
        <w:t>确认后产生约束力</w:t>
      </w:r>
      <w:r>
        <w:rPr>
          <w:rFonts w:hint="eastAsia" w:ascii="Times New Roman" w:hAnsi="Times New Roman" w:cs="MingLiU_HKSCS"/>
          <w:color w:val="auto"/>
          <w:sz w:val="21"/>
          <w:szCs w:val="21"/>
          <w:highlight w:val="none"/>
        </w:rPr>
        <w:t>，</w:t>
      </w:r>
      <w:r>
        <w:rPr>
          <w:rFonts w:hint="eastAsia" w:ascii="Times New Roman"/>
          <w:color w:val="auto"/>
          <w:sz w:val="21"/>
          <w:szCs w:val="21"/>
          <w:highlight w:val="none"/>
          <w:lang w:val="en-US" w:eastAsia="zh-CN"/>
        </w:rPr>
        <w:t>供应商</w:t>
      </w:r>
      <w:r>
        <w:rPr>
          <w:rFonts w:hint="eastAsia" w:ascii="Times New Roman" w:hAnsi="Times New Roman"/>
          <w:color w:val="auto"/>
          <w:sz w:val="21"/>
          <w:szCs w:val="21"/>
          <w:highlight w:val="none"/>
        </w:rPr>
        <w:t>不确认的</w:t>
      </w:r>
      <w:r>
        <w:rPr>
          <w:rFonts w:hint="eastAsia" w:ascii="Times New Roman" w:hAnsi="Times New Roman" w:cs="MingLiU_HKSCS"/>
          <w:color w:val="auto"/>
          <w:sz w:val="21"/>
          <w:szCs w:val="21"/>
          <w:highlight w:val="none"/>
        </w:rPr>
        <w:t>，</w:t>
      </w:r>
      <w:r>
        <w:rPr>
          <w:rFonts w:hint="eastAsia" w:ascii="Times New Roman" w:hAnsi="Times New Roman"/>
          <w:color w:val="auto"/>
          <w:sz w:val="21"/>
          <w:szCs w:val="21"/>
          <w:highlight w:val="none"/>
        </w:rPr>
        <w:t>其</w:t>
      </w:r>
      <w:r>
        <w:rPr>
          <w:rFonts w:hint="eastAsia" w:ascii="Times New Roman"/>
          <w:color w:val="auto"/>
          <w:sz w:val="21"/>
          <w:szCs w:val="21"/>
          <w:highlight w:val="none"/>
          <w:lang w:val="en-US" w:eastAsia="zh-CN"/>
        </w:rPr>
        <w:t>磋商</w:t>
      </w:r>
      <w:r>
        <w:rPr>
          <w:rFonts w:hint="eastAsia" w:ascii="Times New Roman" w:hAnsi="Times New Roman"/>
          <w:color w:val="auto"/>
          <w:sz w:val="21"/>
          <w:szCs w:val="21"/>
          <w:highlight w:val="none"/>
        </w:rPr>
        <w:t>无效。</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响应文件</w:t>
      </w:r>
      <w:r>
        <w:rPr>
          <w:rFonts w:hint="eastAsia" w:asciiTheme="minorEastAsia" w:hAnsiTheme="minorEastAsia" w:eastAsiaTheme="minorEastAsia" w:cstheme="minorEastAsia"/>
          <w:color w:val="auto"/>
          <w:kern w:val="0"/>
          <w:sz w:val="21"/>
          <w:szCs w:val="21"/>
          <w:highlight w:val="none"/>
        </w:rPr>
        <w:t>澄清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　磋商小组在对响应文件(包括首次响</w:t>
      </w:r>
      <w:r>
        <w:rPr>
          <w:rFonts w:hint="eastAsia" w:asciiTheme="minorEastAsia" w:hAnsiTheme="minorEastAsia" w:eastAsiaTheme="minorEastAsia" w:cstheme="minorEastAsia"/>
          <w:color w:val="auto"/>
          <w:kern w:val="0"/>
          <w:szCs w:val="21"/>
          <w:highlight w:val="none"/>
        </w:rPr>
        <w:t>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或其授权代表签字，供应商的澄清、说明或者更正不得超出磋商文件的范围或者改变响应文件的实质性内容。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.1　初审结束后，磋商小组所有成员集中与单一供应商分别进行磋商，并给予所有参加磋商的供应商平等的磋商机会。供应商应派其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或授权代表参加磋商。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.2　在磋商过程中，磋商小组可以根据磋商文件和磋商情况实质性变动采购需求中的技术、服务要求以及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，但不得变动磋商文件中的其他内容。实质性变动的内容，须经采购人代表确认。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.3　对磋商文件作出的实质性变动是磋商文件的有效组成部分，磋商小组应当及时以书面形式同时通知所有参加磋商的供应商。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.4　供应商应当按照磋商文件的变动情况和磋商小组的要求重新提交响应文件，并由其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或授权代表签字或者加盖公章。由授权代表签字的，应当附</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授权书。供应商为自然人的，应当由本人签字并附身份证明。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磋商小组应当根据实际情况与供应商进行磋商，并确定磋商的轮次。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已提交响应文件的供应商，在提交最后报价之前，可以根据磋商情况退出磋商。采购人或采购代理机构应当退还退出磋商的供应商的磋商保证金。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　磋商结束后，供应商按照磋商小组要求重新提交的响应文件，不满足磋商文件及变动后的技术、服务要求以及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的实质性要求的，将视为无效响应文件。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.最后报价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.1　磋商结束后，磋商小组应当要求所有实质性响应的供应商在规定时间内提交最后报价，提交最后报价的供应商原则上不得少于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.2　磋商文件不能详细列明采购标的技术、服务要求，需经磋商由供应商提供最终设计方案或解决方案的，磋商结束后，磋商小组应当按照少数服从多数的原则投票推荐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auto"/>
          <w:kern w:val="0"/>
          <w:szCs w:val="21"/>
          <w:highlight w:val="none"/>
          <w:lang w:eastAsia="zh-CN"/>
        </w:rPr>
        <w:t>原则上</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家以上供应商的设计方案或者解决方案，经评审小组同意也可为2家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并要求其在规定时间内提交最后报价</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.3　最后报价是供应商响应文件的有效组成部分。如磋商小组没有对磋商文件作实质性变动或增加新的需求，最后报价不得高于首轮报价。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.最后报价评审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.1　最后报价计算错误修正的原则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最后递交的</w:t>
      </w:r>
      <w:r>
        <w:rPr>
          <w:rFonts w:hint="eastAsia" w:asciiTheme="minorEastAsia" w:hAnsiTheme="minorEastAsia" w:eastAsiaTheme="minorEastAsia" w:cstheme="minorEastAsia"/>
          <w:color w:val="auto"/>
          <w:kern w:val="0"/>
          <w:szCs w:val="21"/>
          <w:highlight w:val="none"/>
        </w:rPr>
        <w:t>报价出现前后不一致的，除</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文件另有规定外，按照下列规定修正：</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最后递交的</w:t>
      </w:r>
      <w:r>
        <w:rPr>
          <w:rFonts w:hint="eastAsia" w:asciiTheme="minorEastAsia" w:hAnsiTheme="minorEastAsia" w:eastAsiaTheme="minorEastAsia" w:cstheme="minorEastAsia"/>
          <w:color w:val="auto"/>
          <w:kern w:val="0"/>
          <w:szCs w:val="21"/>
          <w:highlight w:val="none"/>
        </w:rPr>
        <w:t>报价表内容与</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文件中相应内容不一致的，以报价表为准；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(2)大写金额和小写金额不一致的，以大写金额为准；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(3)单价金额小数点或者百分比有明显错位的，以</w:t>
      </w:r>
      <w:r>
        <w:rPr>
          <w:rFonts w:hint="eastAsia" w:asciiTheme="minorEastAsia" w:hAnsiTheme="minorEastAsia" w:eastAsiaTheme="minorEastAsia" w:cstheme="minorEastAsia"/>
          <w:color w:val="auto"/>
          <w:kern w:val="0"/>
          <w:szCs w:val="21"/>
          <w:highlight w:val="none"/>
          <w:lang w:val="en-US" w:eastAsia="zh-CN"/>
        </w:rPr>
        <w:t>最后递交的</w:t>
      </w:r>
      <w:r>
        <w:rPr>
          <w:rFonts w:hint="eastAsia" w:asciiTheme="minorEastAsia" w:hAnsiTheme="minorEastAsia" w:eastAsiaTheme="minorEastAsia" w:cstheme="minorEastAsia"/>
          <w:color w:val="auto"/>
          <w:kern w:val="0"/>
          <w:szCs w:val="21"/>
          <w:highlight w:val="none"/>
        </w:rPr>
        <w:t>报价表的总价为准，并修改单价；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(4)总价金额与按单价汇总金额不一致的，以单价金额计算结果为准。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★同时出现两种以上不一致的，按照前款规定的顺序修正。修正后的报价按照上述规定经</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确认后产生约束力，</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不确认的，其</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无效。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价格得分：以供应商的最后报价作为价格评分依据。供应商的评审价为按上述</w:t>
      </w:r>
      <w:r>
        <w:rPr>
          <w:rFonts w:hint="eastAsia" w:asciiTheme="minorEastAsia" w:hAnsiTheme="minorEastAsia" w:eastAsiaTheme="minorEastAsia" w:cstheme="minorEastAsia"/>
          <w:color w:val="auto"/>
          <w:kern w:val="0"/>
          <w:szCs w:val="21"/>
          <w:highlight w:val="none"/>
          <w:lang w:val="en-US" w:eastAsia="zh-CN"/>
        </w:rPr>
        <w:t>28.1</w:t>
      </w:r>
      <w:r>
        <w:rPr>
          <w:rFonts w:hint="eastAsia" w:asciiTheme="minorEastAsia" w:hAnsiTheme="minorEastAsia" w:eastAsiaTheme="minorEastAsia" w:cstheme="minorEastAsia"/>
          <w:color w:val="auto"/>
          <w:kern w:val="0"/>
          <w:szCs w:val="21"/>
          <w:highlight w:val="none"/>
        </w:rPr>
        <w:t>条款修正后的价格。</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价格评分统一采用低价优先法计算，即满足磋商文件要求且最后报价最低的供应商的价格为磋商基准价，其价格分为满分。其他供应商的价格分统一按照下列公式计算：</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价格评分=(磋商基准价/最后磋商报价)×价格分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.综合评审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.2　评审办法及标准见第三章。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.3　评审时，磋商小组成员应当独立对每个有效响应的文件进行评价、打分，然后汇总每个供应商每项评分因素的得分。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29.4 磋商小组</w:t>
      </w:r>
      <w:r>
        <w:rPr>
          <w:rFonts w:hint="eastAsia" w:asciiTheme="minorEastAsia" w:hAnsiTheme="minorEastAsia" w:eastAsiaTheme="minorEastAsia" w:cstheme="minorEastAsia"/>
          <w:color w:val="auto"/>
          <w:kern w:val="0"/>
          <w:szCs w:val="21"/>
          <w:highlight w:val="none"/>
        </w:rPr>
        <w:t>认为</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的报价明显低于其他通过符合性审查</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的报价，有可能影响产品（或服务）质量或者不能诚信履约的，应当要求其在</w:t>
      </w:r>
      <w:r>
        <w:rPr>
          <w:rFonts w:hint="eastAsia" w:asciiTheme="minorEastAsia" w:hAnsiTheme="minorEastAsia" w:eastAsiaTheme="minorEastAsia" w:cstheme="minorEastAsia"/>
          <w:color w:val="auto"/>
          <w:kern w:val="0"/>
          <w:szCs w:val="21"/>
          <w:highlight w:val="none"/>
          <w:lang w:val="en-US" w:eastAsia="zh-CN"/>
        </w:rPr>
        <w:t>评审</w:t>
      </w:r>
      <w:r>
        <w:rPr>
          <w:rFonts w:hint="eastAsia" w:asciiTheme="minorEastAsia" w:hAnsiTheme="minorEastAsia" w:eastAsiaTheme="minorEastAsia" w:cstheme="minorEastAsia"/>
          <w:color w:val="auto"/>
          <w:kern w:val="0"/>
          <w:szCs w:val="21"/>
          <w:highlight w:val="none"/>
        </w:rPr>
        <w:t>现场合理的时间内提供书面说明，必要时提交相关证明材料；</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不能证明其报价合理性的，</w:t>
      </w:r>
      <w:r>
        <w:rPr>
          <w:rFonts w:hint="eastAsia" w:asciiTheme="minorEastAsia" w:hAnsiTheme="minorEastAsia" w:eastAsiaTheme="minorEastAsia" w:cstheme="minorEastAsia"/>
          <w:color w:val="auto"/>
          <w:kern w:val="0"/>
          <w:szCs w:val="21"/>
          <w:highlight w:val="none"/>
          <w:lang w:val="en-US" w:eastAsia="zh-CN"/>
        </w:rPr>
        <w:t>磋商小组</w:t>
      </w:r>
      <w:r>
        <w:rPr>
          <w:rFonts w:hint="eastAsia" w:asciiTheme="minorEastAsia" w:hAnsiTheme="minorEastAsia" w:eastAsiaTheme="minorEastAsia" w:cstheme="minorEastAsia"/>
          <w:color w:val="auto"/>
          <w:kern w:val="0"/>
          <w:szCs w:val="21"/>
          <w:highlight w:val="none"/>
        </w:rPr>
        <w:t>应当将其作为无效</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.提出成交供应商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.1　磋商小组应当按照综合评分由高到低的顺序提出3名以上成交候选供应商，并编写评审报告。经评审小组同意也可推荐2家成交候选供应商。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.2　评审得分相同的，按照最后报价由低到高的顺序推荐。评审得分且最后报价相同的，按照</w:t>
      </w:r>
      <w:r>
        <w:rPr>
          <w:rFonts w:hint="eastAsia" w:asciiTheme="minorEastAsia" w:hAnsiTheme="minorEastAsia" w:eastAsiaTheme="minorEastAsia" w:cstheme="minorEastAsia"/>
          <w:b/>
          <w:bCs/>
          <w:color w:val="auto"/>
          <w:kern w:val="0"/>
          <w:szCs w:val="21"/>
          <w:highlight w:val="none"/>
          <w:lang w:val="en-US" w:eastAsia="zh-CN"/>
        </w:rPr>
        <w:t>磋商须知前附表</w:t>
      </w:r>
      <w:r>
        <w:rPr>
          <w:rFonts w:hint="eastAsia" w:asciiTheme="minorEastAsia" w:hAnsiTheme="minorEastAsia" w:eastAsiaTheme="minorEastAsia" w:cstheme="minorEastAsia"/>
          <w:color w:val="auto"/>
          <w:sz w:val="21"/>
          <w:szCs w:val="21"/>
          <w:highlight w:val="none"/>
          <w:lang w:eastAsia="zh-CN"/>
        </w:rPr>
        <w:t>评定成交的标准</w:t>
      </w:r>
      <w:r>
        <w:rPr>
          <w:rFonts w:hint="eastAsia" w:asciiTheme="minorEastAsia" w:hAnsiTheme="minorEastAsia" w:eastAsiaTheme="minorEastAsia" w:cstheme="minorEastAsia"/>
          <w:color w:val="auto"/>
          <w:sz w:val="21"/>
          <w:szCs w:val="21"/>
          <w:highlight w:val="none"/>
          <w:lang w:val="en-US" w:eastAsia="zh-CN"/>
        </w:rPr>
        <w:t>中规定</w:t>
      </w:r>
      <w:r>
        <w:rPr>
          <w:rFonts w:hint="eastAsia" w:asciiTheme="minorEastAsia" w:hAnsiTheme="minorEastAsia" w:eastAsiaTheme="minorEastAsia" w:cstheme="minorEastAsia"/>
          <w:color w:val="auto"/>
          <w:kern w:val="0"/>
          <w:szCs w:val="21"/>
          <w:highlight w:val="none"/>
        </w:rPr>
        <w:t>的顺序推荐。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.1　采购代理机构应当在评审结束之日起2个工作日内将评审报告送采购人确认。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.3　采购人自行组织磋商的，应当在评审结束之日起5个工作日内确定成交供应商。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.磋商终止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.1　出现下列情形之一的，采购人或者采购代理机构应当终止磋商采购活动，在指定的媒体上发布项目终止公告并说明原因，重新开展采购活动：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(1)因情况变化，不再符合规定的磋商采购方式适用情形的；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(2)出现影响采购公正的违法、违规行为的；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(3)采购过程中符合竞争要求的供应商或者报价未超过采购预算的供应商不足</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家的，或者提交最后报价的供应商少于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w:t>
      </w:r>
      <w:r>
        <w:rPr>
          <w:rFonts w:hint="eastAsia" w:asciiTheme="minorEastAsia" w:hAnsiTheme="minorEastAsia" w:eastAsiaTheme="minorEastAsia" w:cstheme="minorEastAsia"/>
          <w:color w:val="auto"/>
          <w:kern w:val="0"/>
          <w:szCs w:val="21"/>
          <w:highlight w:val="none"/>
          <w:lang w:eastAsia="zh-CN"/>
        </w:rPr>
        <w:t>，除</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的情形外（</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(4)因重大变故，采购任务取消的。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.保密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.1　磋商小组成员以及与评审工作有关的人员不得泄露评审情况以及评审过程中获悉的国家秘密、商业秘密。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.禁止行为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五、成交结果信息公布与签订合同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.成交信息的公布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.1　成交供应商确定之日起2个工作日内，采购人或者采购代理机构应</w:t>
      </w:r>
      <w:r>
        <w:rPr>
          <w:rFonts w:hint="eastAsia" w:asciiTheme="minorEastAsia" w:hAnsiTheme="minorEastAsia" w:eastAsiaTheme="minorEastAsia" w:cstheme="minorEastAsia"/>
          <w:color w:val="auto"/>
          <w:kern w:val="0"/>
          <w:szCs w:val="21"/>
          <w:highlight w:val="none"/>
          <w:lang w:val="en-US" w:eastAsia="zh-CN"/>
        </w:rPr>
        <w:t>将</w:t>
      </w:r>
      <w:r>
        <w:rPr>
          <w:rFonts w:hint="eastAsia" w:asciiTheme="minorEastAsia" w:hAnsiTheme="minorEastAsia" w:eastAsiaTheme="minorEastAsia" w:cstheme="minorEastAsia"/>
          <w:color w:val="auto"/>
          <w:kern w:val="0"/>
          <w:szCs w:val="21"/>
          <w:highlight w:val="none"/>
        </w:rPr>
        <w:t>成交结果在磋商须知前附表中规定的公告媒体上公布。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.2　磋商文件随成交结果同时公告。但成交结果公告前磋商文件已公告的，不再重复公告。</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.3　采用书面推荐供应商参加采购活动的，在公告结果同时公告采购人和评审专家的推荐意见。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.成交通知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采购人或者采购代理机构应当自发布</w:t>
      </w:r>
      <w:r>
        <w:rPr>
          <w:rFonts w:hint="eastAsia" w:asciiTheme="minorEastAsia" w:hAnsiTheme="minorEastAsia" w:eastAsiaTheme="minorEastAsia" w:cstheme="minorEastAsia"/>
          <w:color w:val="auto"/>
          <w:kern w:val="0"/>
          <w:szCs w:val="21"/>
          <w:highlight w:val="none"/>
          <w:lang w:val="en-US" w:eastAsia="zh-CN"/>
        </w:rPr>
        <w:t>成交</w:t>
      </w:r>
      <w:r>
        <w:rPr>
          <w:rFonts w:hint="eastAsia" w:asciiTheme="minorEastAsia" w:hAnsiTheme="minorEastAsia" w:eastAsiaTheme="minorEastAsia" w:cstheme="minorEastAsia"/>
          <w:color w:val="auto"/>
          <w:kern w:val="0"/>
          <w:szCs w:val="21"/>
          <w:highlight w:val="none"/>
        </w:rPr>
        <w:t>公告的同时，发出</w:t>
      </w:r>
      <w:r>
        <w:rPr>
          <w:rFonts w:hint="eastAsia" w:asciiTheme="minorEastAsia" w:hAnsiTheme="minorEastAsia" w:eastAsiaTheme="minorEastAsia" w:cstheme="minorEastAsia"/>
          <w:color w:val="auto"/>
          <w:kern w:val="0"/>
          <w:szCs w:val="21"/>
          <w:highlight w:val="none"/>
          <w:lang w:val="en-US" w:eastAsia="zh-CN"/>
        </w:rPr>
        <w:t>成交</w:t>
      </w:r>
      <w:r>
        <w:rPr>
          <w:rFonts w:hint="eastAsia" w:asciiTheme="minorEastAsia" w:hAnsiTheme="minorEastAsia" w:eastAsiaTheme="minorEastAsia" w:cstheme="minorEastAsia"/>
          <w:color w:val="auto"/>
          <w:kern w:val="0"/>
          <w:szCs w:val="21"/>
          <w:highlight w:val="none"/>
        </w:rPr>
        <w:t>通知书，</w:t>
      </w:r>
      <w:r>
        <w:rPr>
          <w:rFonts w:hint="eastAsia" w:asciiTheme="minorEastAsia" w:hAnsiTheme="minorEastAsia" w:eastAsiaTheme="minorEastAsia" w:cstheme="minorEastAsia"/>
          <w:color w:val="auto"/>
          <w:kern w:val="0"/>
          <w:szCs w:val="21"/>
          <w:highlight w:val="none"/>
          <w:lang w:val="en-US" w:eastAsia="zh-CN"/>
        </w:rPr>
        <w:t>成交</w:t>
      </w:r>
      <w:r>
        <w:rPr>
          <w:rFonts w:hint="eastAsia" w:asciiTheme="minorEastAsia" w:hAnsiTheme="minorEastAsia" w:eastAsiaTheme="minorEastAsia" w:cstheme="minorEastAsia"/>
          <w:color w:val="auto"/>
          <w:kern w:val="0"/>
          <w:szCs w:val="21"/>
          <w:highlight w:val="none"/>
        </w:rPr>
        <w:t>通知书对采购人和</w:t>
      </w:r>
      <w:r>
        <w:rPr>
          <w:rFonts w:hint="eastAsia" w:asciiTheme="minorEastAsia" w:hAnsiTheme="minorEastAsia" w:eastAsiaTheme="minorEastAsia" w:cstheme="minorEastAsia"/>
          <w:color w:val="auto"/>
          <w:kern w:val="0"/>
          <w:szCs w:val="21"/>
          <w:highlight w:val="none"/>
          <w:lang w:val="en-US" w:eastAsia="zh-CN"/>
        </w:rPr>
        <w:t>成交供应商</w:t>
      </w:r>
      <w:r>
        <w:rPr>
          <w:rFonts w:hint="eastAsia" w:asciiTheme="minorEastAsia" w:hAnsiTheme="minorEastAsia" w:eastAsiaTheme="minorEastAsia" w:cstheme="minorEastAsia"/>
          <w:color w:val="auto"/>
          <w:kern w:val="0"/>
          <w:szCs w:val="21"/>
          <w:highlight w:val="none"/>
        </w:rPr>
        <w:t>具有同等法律效力。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成交</w:t>
      </w:r>
      <w:r>
        <w:rPr>
          <w:rFonts w:hint="eastAsia" w:asciiTheme="minorEastAsia" w:hAnsiTheme="minorEastAsia" w:eastAsiaTheme="minorEastAsia" w:cstheme="minorEastAsia"/>
          <w:color w:val="auto"/>
          <w:kern w:val="0"/>
          <w:szCs w:val="21"/>
          <w:highlight w:val="none"/>
        </w:rPr>
        <w:t>通知书发出后，</w:t>
      </w:r>
      <w:r>
        <w:rPr>
          <w:rFonts w:hint="eastAsia" w:asciiTheme="minorEastAsia" w:hAnsiTheme="minorEastAsia" w:eastAsiaTheme="minorEastAsia" w:cstheme="minorEastAsia"/>
          <w:color w:val="auto"/>
          <w:kern w:val="0"/>
          <w:szCs w:val="21"/>
          <w:highlight w:val="none"/>
          <w:lang w:val="en-US" w:eastAsia="zh-CN"/>
        </w:rPr>
        <w:t>成交供应商</w:t>
      </w:r>
      <w:r>
        <w:rPr>
          <w:rFonts w:hint="eastAsia" w:asciiTheme="minorEastAsia" w:hAnsiTheme="minorEastAsia" w:eastAsiaTheme="minorEastAsia" w:cstheme="minorEastAsia"/>
          <w:color w:val="auto"/>
          <w:kern w:val="0"/>
          <w:szCs w:val="21"/>
          <w:highlight w:val="none"/>
        </w:rPr>
        <w:t>无正当理由不得放弃</w:t>
      </w:r>
      <w:r>
        <w:rPr>
          <w:rFonts w:hint="eastAsia" w:asciiTheme="minorEastAsia" w:hAnsiTheme="minorEastAsia" w:eastAsiaTheme="minorEastAsia" w:cstheme="minorEastAsia"/>
          <w:color w:val="auto"/>
          <w:kern w:val="0"/>
          <w:szCs w:val="21"/>
          <w:highlight w:val="none"/>
          <w:lang w:val="en-US" w:eastAsia="zh-CN"/>
        </w:rPr>
        <w:t>成交</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.履约保证金</w:t>
      </w:r>
    </w:p>
    <w:p>
      <w:pPr>
        <w:spacing w:line="360" w:lineRule="auto"/>
        <w:ind w:firstLine="420" w:firstLineChars="200"/>
        <w:rPr>
          <w:rFonts w:hint="eastAsia" w:eastAsia="宋体" w:asciiTheme="minorEastAsia" w:hAnsi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.1　</w:t>
      </w:r>
      <w:r>
        <w:rPr>
          <w:rFonts w:hint="eastAsia" w:ascii="Times New Roman" w:hAnsi="Times New Roman"/>
          <w:color w:val="auto"/>
          <w:highlight w:val="none"/>
        </w:rPr>
        <w:t>本项目是否缴纳履约保证金见</w:t>
      </w:r>
      <w:r>
        <w:rPr>
          <w:rFonts w:hint="eastAsia"/>
          <w:b/>
          <w:color w:val="auto"/>
          <w:highlight w:val="none"/>
          <w:lang w:val="en-US" w:eastAsia="zh-CN"/>
        </w:rPr>
        <w:t>磋商</w:t>
      </w:r>
      <w:r>
        <w:rPr>
          <w:rFonts w:hint="eastAsia" w:ascii="Times New Roman" w:hAnsi="Times New Roman"/>
          <w:b/>
          <w:color w:val="auto"/>
          <w:highlight w:val="none"/>
        </w:rPr>
        <w:t>须知前附表</w:t>
      </w:r>
      <w:r>
        <w:rPr>
          <w:rFonts w:hint="eastAsia"/>
          <w:b/>
          <w:color w:val="auto"/>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 xml:space="preserve">38.2 </w:t>
      </w:r>
      <w:r>
        <w:rPr>
          <w:rFonts w:hint="eastAsia" w:asciiTheme="minorEastAsia" w:hAnsiTheme="minorEastAsia" w:eastAsiaTheme="minorEastAsia" w:cstheme="minorEastAsia"/>
          <w:color w:val="auto"/>
          <w:kern w:val="0"/>
          <w:szCs w:val="21"/>
          <w:highlight w:val="none"/>
        </w:rPr>
        <w:t>磋商须知前附表</w:t>
      </w:r>
      <w:r>
        <w:rPr>
          <w:rFonts w:hint="eastAsia" w:ascii="Times New Roman" w:hAnsi="Times New Roman"/>
          <w:color w:val="auto"/>
          <w:highlight w:val="none"/>
        </w:rPr>
        <w:t>规定交纳履约保证金的</w:t>
      </w:r>
      <w:r>
        <w:rPr>
          <w:rFonts w:hint="eastAsia" w:asciiTheme="minorEastAsia" w:hAnsiTheme="minorEastAsia" w:eastAsiaTheme="minorEastAsia" w:cstheme="minorEastAsia"/>
          <w:color w:val="auto"/>
          <w:kern w:val="0"/>
          <w:szCs w:val="21"/>
          <w:highlight w:val="none"/>
        </w:rPr>
        <w:t>，</w:t>
      </w:r>
      <w:r>
        <w:rPr>
          <w:rFonts w:hint="eastAsia" w:ascii="Times New Roman"/>
          <w:color w:val="auto"/>
          <w:highlight w:val="none"/>
          <w:lang w:val="en-US" w:eastAsia="zh-CN"/>
        </w:rPr>
        <w:t>成交供应商</w:t>
      </w:r>
      <w:r>
        <w:rPr>
          <w:rFonts w:hint="eastAsia" w:asciiTheme="minorEastAsia" w:hAnsiTheme="minorEastAsia" w:eastAsiaTheme="minorEastAsia" w:cstheme="minorEastAsia"/>
          <w:color w:val="auto"/>
          <w:kern w:val="0"/>
          <w:szCs w:val="21"/>
          <w:highlight w:val="none"/>
        </w:rPr>
        <w:t>在签订采购合同前，向采购人提交履约保证金。联合体成交的，履约保证金以联合体各方或联合体中牵头人的名义提交。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成交供应商没有按照磋商须知前附表的规定提交履约保证金的，视为</w:t>
      </w:r>
      <w:r>
        <w:rPr>
          <w:rFonts w:hint="eastAsia" w:asciiTheme="minorEastAsia" w:hAnsiTheme="minorEastAsia" w:eastAsiaTheme="minorEastAsia" w:cstheme="minorEastAsia"/>
          <w:color w:val="auto"/>
          <w:kern w:val="0"/>
          <w:szCs w:val="21"/>
          <w:highlight w:val="none"/>
          <w:lang w:val="en-US" w:eastAsia="zh-CN"/>
        </w:rPr>
        <w:t>成交后</w:t>
      </w:r>
      <w:r>
        <w:rPr>
          <w:rFonts w:hint="eastAsia" w:ascii="Times New Roman" w:hAnsi="Times New Roman"/>
          <w:color w:val="auto"/>
          <w:highlight w:val="none"/>
        </w:rPr>
        <w:t>无正当理由不与采购人签订合同</w:t>
      </w:r>
      <w:r>
        <w:rPr>
          <w:rFonts w:hint="eastAsia" w:asciiTheme="minorEastAsia" w:hAnsiTheme="minorEastAsia" w:eastAsiaTheme="minorEastAsia" w:cstheme="minorEastAsia"/>
          <w:color w:val="auto"/>
          <w:kern w:val="0"/>
          <w:szCs w:val="21"/>
          <w:highlight w:val="none"/>
        </w:rPr>
        <w:t>，其磋商保证金不予退还。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.1　磋商文件</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rPr>
        <w:t>成交供应商的响应文件等均为签订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合同的依据。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.2　成交供应商应当在成交通知书发出之日起</w:t>
      </w: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日内</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与采购人签订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六、其他规定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.采购代理服务费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.1　成交供应商是否交纳采购代理服务费及相关要求见磋商须知前附表。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.询问、质疑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.1　供应商对</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活动事项有疑问的，可以向采购人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提出询</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.2　供应商认为磋商文件、磋商过程和成交结果使自己的权益受到损害的，可以在知道或者应知其权益受到损害之日起7个工作日内，以书面形式向采购人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提出质疑。供应商应在法定质疑期内一次性提出针对同一采购程序环节的质疑。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.3　供应商提出质疑的，应提供质疑函原件。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.4　质疑函应当由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法定代表人（负责人）或其授权的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代表签字并加盖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单位章，质疑函由授权的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代表签字的应附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法定代表人（负责人）委托授权书。</w:t>
      </w:r>
    </w:p>
    <w:p>
      <w:pPr>
        <w:pStyle w:val="20"/>
        <w:spacing w:line="440" w:lineRule="exact"/>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42.其他规定。</w:t>
      </w:r>
    </w:p>
    <w:p>
      <w:pPr>
        <w:pStyle w:val="20"/>
        <w:spacing w:line="440" w:lineRule="exact"/>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响应文件的其他规定见</w:t>
      </w:r>
      <w:r>
        <w:rPr>
          <w:rFonts w:hint="eastAsia" w:asciiTheme="minorEastAsia" w:hAnsiTheme="minorEastAsia" w:eastAsiaTheme="minorEastAsia" w:cstheme="minorEastAsia"/>
          <w:b/>
          <w:bCs/>
          <w:color w:val="auto"/>
          <w:kern w:val="0"/>
          <w:sz w:val="21"/>
          <w:szCs w:val="21"/>
          <w:highlight w:val="none"/>
          <w:lang w:val="en-US" w:eastAsia="zh-CN" w:bidi="ar-SA"/>
        </w:rPr>
        <w:t>磋商须知前附表</w:t>
      </w:r>
      <w:r>
        <w:rPr>
          <w:rFonts w:hint="eastAsia" w:asciiTheme="minorEastAsia" w:hAnsiTheme="minorEastAsia" w:eastAsiaTheme="minorEastAsia" w:cstheme="minorEastAsia"/>
          <w:color w:val="auto"/>
          <w:kern w:val="0"/>
          <w:sz w:val="21"/>
          <w:szCs w:val="21"/>
          <w:highlight w:val="none"/>
          <w:lang w:val="en-US" w:eastAsia="zh-CN" w:bidi="ar-SA"/>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43</w:t>
      </w:r>
      <w:r>
        <w:rPr>
          <w:rFonts w:hint="eastAsia" w:asciiTheme="minorEastAsia" w:hAnsiTheme="minorEastAsia" w:eastAsiaTheme="minorEastAsia" w:cstheme="minorEastAsia"/>
          <w:color w:val="auto"/>
          <w:kern w:val="0"/>
          <w:szCs w:val="21"/>
          <w:highlight w:val="none"/>
        </w:rPr>
        <w:t>.文件解释权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43</w:t>
      </w:r>
      <w:r>
        <w:rPr>
          <w:rFonts w:hint="eastAsia" w:asciiTheme="minorEastAsia" w:hAnsiTheme="minorEastAsia" w:eastAsiaTheme="minorEastAsia" w:cstheme="minorEastAsia"/>
          <w:color w:val="auto"/>
          <w:kern w:val="0"/>
          <w:szCs w:val="21"/>
          <w:highlight w:val="none"/>
        </w:rPr>
        <w:t>.1　本</w:t>
      </w:r>
      <w:r>
        <w:rPr>
          <w:rFonts w:hint="eastAsia" w:asciiTheme="minorEastAsia" w:hAnsiTheme="minorEastAsia" w:eastAsiaTheme="minorEastAsia" w:cstheme="minorEastAsia"/>
          <w:color w:val="auto"/>
          <w:kern w:val="0"/>
          <w:szCs w:val="21"/>
          <w:highlight w:val="none"/>
          <w:lang w:val="en-US" w:eastAsia="zh-CN"/>
        </w:rPr>
        <w:t>采购</w:t>
      </w:r>
      <w:r>
        <w:rPr>
          <w:rFonts w:hint="eastAsia" w:asciiTheme="minorEastAsia" w:hAnsiTheme="minorEastAsia" w:eastAsiaTheme="minorEastAsia" w:cstheme="minorEastAsia"/>
          <w:color w:val="auto"/>
          <w:kern w:val="0"/>
          <w:szCs w:val="21"/>
          <w:highlight w:val="none"/>
        </w:rPr>
        <w:t>文件的解释权归采购人(或采购代理机构)所有。</w:t>
      </w:r>
    </w:p>
    <w:p>
      <w:pPr>
        <w:rPr>
          <w:rFonts w:hint="eastAsia"/>
          <w:color w:val="auto"/>
          <w:highlight w:val="none"/>
        </w:rPr>
      </w:pPr>
    </w:p>
    <w:p>
      <w:pPr>
        <w:pStyle w:val="3"/>
        <w:rPr>
          <w:rFonts w:hint="eastAsia"/>
          <w:color w:val="auto"/>
          <w:highlight w:val="none"/>
        </w:rPr>
      </w:pPr>
    </w:p>
    <w:bookmarkEnd w:id="40"/>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41" w:name="_Toc22872"/>
      <w:r>
        <w:rPr>
          <w:rFonts w:hint="eastAsia" w:asciiTheme="minorEastAsia" w:hAnsiTheme="minorEastAsia" w:eastAsiaTheme="minorEastAsia" w:cstheme="minorEastAsia"/>
          <w:b/>
          <w:color w:val="auto"/>
          <w:sz w:val="32"/>
          <w:szCs w:val="32"/>
          <w:highlight w:val="none"/>
        </w:rPr>
        <w:t>第三章 评审方法及标准</w:t>
      </w:r>
      <w:bookmarkEnd w:id="41"/>
    </w:p>
    <w:p>
      <w:pPr>
        <w:pStyle w:val="20"/>
        <w:spacing w:line="360" w:lineRule="auto"/>
        <w:ind w:firstLine="434" w:firstLineChars="216"/>
        <w:rPr>
          <w:rFonts w:hint="eastAsia" w:asciiTheme="minorEastAsia" w:hAnsiTheme="minorEastAsia" w:eastAsiaTheme="minorEastAsia" w:cstheme="minorEastAsia"/>
          <w:b/>
          <w:color w:val="auto"/>
          <w:highlight w:val="none"/>
        </w:rPr>
      </w:pPr>
    </w:p>
    <w:p>
      <w:pPr>
        <w:pStyle w:val="20"/>
        <w:keepLines w:val="0"/>
        <w:pageBreakBefore w:val="0"/>
        <w:widowControl w:val="0"/>
        <w:kinsoku/>
        <w:wordWrap/>
        <w:overflowPunct/>
        <w:topLinePunct w:val="0"/>
        <w:autoSpaceDE/>
        <w:autoSpaceDN/>
        <w:bidi w:val="0"/>
        <w:adjustRightInd/>
        <w:snapToGrid/>
        <w:spacing w:line="312" w:lineRule="auto"/>
        <w:ind w:firstLine="455" w:firstLineChars="216"/>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一、评审原则</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（一）磋商小组构成：本项目的磋商小组分别由采购人代表和</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w:t>
      </w:r>
      <w:r>
        <w:rPr>
          <w:rFonts w:hint="eastAsia" w:asciiTheme="minorEastAsia" w:hAnsiTheme="minorEastAsia" w:eastAsiaTheme="minorEastAsia" w:cstheme="minorEastAsia"/>
          <w:bCs/>
          <w:color w:val="auto"/>
          <w:sz w:val="21"/>
          <w:szCs w:val="21"/>
          <w:highlight w:val="none"/>
          <w:lang w:eastAsia="zh-CN"/>
        </w:rPr>
        <w:t>共</w:t>
      </w:r>
      <w:r>
        <w:rPr>
          <w:rFonts w:hint="eastAsia" w:asciiTheme="minorEastAsia" w:hAnsiTheme="minorEastAsia" w:eastAsiaTheme="minorEastAsia" w:cstheme="minorEastAsia"/>
          <w:bCs/>
          <w:color w:val="auto"/>
          <w:sz w:val="21"/>
          <w:szCs w:val="21"/>
          <w:highlight w:val="none"/>
          <w:lang w:val="en-US" w:eastAsia="zh-CN"/>
        </w:rPr>
        <w:t>3人以上单数</w:t>
      </w:r>
      <w:r>
        <w:rPr>
          <w:rFonts w:hint="eastAsia" w:asciiTheme="minorEastAsia" w:hAnsiTheme="minorEastAsia" w:eastAsiaTheme="minorEastAsia" w:cstheme="minorEastAsia"/>
          <w:bCs/>
          <w:color w:val="auto"/>
          <w:sz w:val="21"/>
          <w:szCs w:val="21"/>
          <w:highlight w:val="none"/>
        </w:rPr>
        <w:t>组成，其中</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专家人数不得少于</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成员总数的三分之二。</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（二）评审依据：评委将以磋商文件为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依据，</w:t>
      </w:r>
      <w:r>
        <w:rPr>
          <w:rFonts w:hint="eastAsia" w:asciiTheme="minorEastAsia" w:hAnsiTheme="minorEastAsia" w:eastAsiaTheme="minorEastAsia" w:cstheme="minorEastAsia"/>
          <w:bCs/>
          <w:color w:val="auto"/>
          <w:sz w:val="21"/>
          <w:szCs w:val="21"/>
          <w:highlight w:val="none"/>
          <w:u w:val="single"/>
        </w:rPr>
        <w:t>对供应商的报价、</w:t>
      </w:r>
      <w:r>
        <w:rPr>
          <w:rFonts w:hint="eastAsia" w:asciiTheme="minorEastAsia" w:hAnsiTheme="minorEastAsia" w:eastAsiaTheme="minorEastAsia" w:cstheme="minorEastAsia"/>
          <w:bCs/>
          <w:color w:val="auto"/>
          <w:sz w:val="21"/>
          <w:szCs w:val="21"/>
          <w:highlight w:val="none"/>
          <w:u w:val="single"/>
          <w:lang w:val="en-US" w:eastAsia="zh-CN"/>
        </w:rPr>
        <w:t>技术</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u w:val="single"/>
          <w:lang w:eastAsia="zh-CN"/>
        </w:rPr>
        <w:t>商务</w:t>
      </w:r>
      <w:r>
        <w:rPr>
          <w:rFonts w:hint="eastAsia" w:asciiTheme="minorEastAsia" w:hAnsiTheme="minorEastAsia" w:eastAsiaTheme="minorEastAsia" w:cstheme="minorEastAsia"/>
          <w:bCs/>
          <w:color w:val="auto"/>
          <w:sz w:val="21"/>
          <w:szCs w:val="21"/>
          <w:highlight w:val="none"/>
        </w:rPr>
        <w:t>等方面内容按百分制打分</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（三）评审方式：以封闭方式进行。</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p>
    <w:p>
      <w:pPr>
        <w:pStyle w:val="20"/>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eastAsia="zh-CN"/>
        </w:rPr>
        <w:t>评审</w:t>
      </w:r>
      <w:r>
        <w:rPr>
          <w:rFonts w:hint="eastAsia" w:asciiTheme="minorEastAsia" w:hAnsiTheme="minorEastAsia" w:eastAsiaTheme="minorEastAsia" w:cstheme="minorEastAsia"/>
          <w:b/>
          <w:bCs/>
          <w:color w:val="auto"/>
          <w:sz w:val="21"/>
          <w:szCs w:val="21"/>
          <w:highlight w:val="none"/>
        </w:rPr>
        <w:t>方法</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（一）首先由磋商小组依法对供应商的资格进行评审，再由评委对响应文件进行符合性评审，只有资格性评审、符合性评审合格的响应文件才能进入详评。</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（二）对进入详评的，采用百分制综合评分法。</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（三）计分办法（按四舍五入取至百分位）</w:t>
      </w:r>
    </w:p>
    <w:p>
      <w:pPr>
        <w:pStyle w:val="20"/>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1、价格分………………………………………………………………………………</w:t>
      </w:r>
      <w:r>
        <w:rPr>
          <w:rFonts w:hint="eastAsia" w:asciiTheme="minorEastAsia" w:hAnsiTheme="minorEastAsia" w:eastAsiaTheme="minorEastAsia" w:cstheme="minorEastAsia"/>
          <w:b/>
          <w:bCs/>
          <w:color w:val="auto"/>
          <w:sz w:val="21"/>
          <w:szCs w:val="21"/>
          <w:highlight w:val="none"/>
          <w:lang w:val="en-US" w:eastAsia="zh-CN"/>
        </w:rPr>
        <w:t>满分10</w:t>
      </w:r>
      <w:r>
        <w:rPr>
          <w:rFonts w:hint="eastAsia" w:asciiTheme="minorEastAsia" w:hAnsiTheme="minorEastAsia" w:eastAsiaTheme="minorEastAsia" w:cstheme="minorEastAsia"/>
          <w:b/>
          <w:bCs/>
          <w:color w:val="auto"/>
          <w:sz w:val="21"/>
          <w:szCs w:val="21"/>
          <w:highlight w:val="none"/>
        </w:rPr>
        <w:t>分</w:t>
      </w:r>
    </w:p>
    <w:p>
      <w:pPr>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评审价为供应商的最后报价，评审价只是作为评审时使用。最终成交供应商的成交金额等于最后报价（如有修正，以确认修正后的最后报价为准）。</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sz w:val="21"/>
          <w:szCs w:val="21"/>
          <w:highlight w:val="none"/>
        </w:rPr>
        <w:t>政策性扣除计算方法：</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本项目为专门面对中小企业项目，按照《政府采购促进中小企业发展管理办法》（财库〔2020〕46号）规定，小微企业、监狱企业、残疾人福利性单位不再执行价格评审优惠的扶持政策。</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hAnsi="宋体" w:cs="宋体"/>
          <w:color w:val="auto"/>
          <w:sz w:val="21"/>
          <w:szCs w:val="21"/>
          <w:highlight w:val="none"/>
          <w:lang w:val="en-US" w:eastAsia="zh-CN"/>
        </w:rPr>
        <w:t>商务服务业</w:t>
      </w:r>
      <w:r>
        <w:rPr>
          <w:rFonts w:hint="eastAsia" w:ascii="宋体" w:hAnsi="宋体" w:eastAsia="宋体" w:cs="宋体"/>
          <w:color w:val="auto"/>
          <w:sz w:val="21"/>
          <w:szCs w:val="21"/>
          <w:highlight w:val="none"/>
        </w:rPr>
        <w:t>，中型、小型或微型企业划分标准按照《关于印发中小企业划型标准规定的通知》（工信中联企业〔2011〕300号）文件执行。</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Courier New"/>
          <w:bCs/>
          <w:color w:val="auto"/>
          <w:kern w:val="2"/>
          <w:sz w:val="21"/>
          <w:highlight w:val="none"/>
        </w:rPr>
      </w:pP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rPr>
        <w:t>满足磋商文件要求且评审价最低的供应商的价格为磋商基准价，</w:t>
      </w:r>
      <w:r>
        <w:rPr>
          <w:rFonts w:hint="eastAsia" w:hAnsi="宋体" w:cs="Courier New"/>
          <w:bCs/>
          <w:color w:val="auto"/>
          <w:kern w:val="2"/>
          <w:sz w:val="21"/>
          <w:highlight w:val="none"/>
          <w:lang w:val="en-US" w:eastAsia="zh-CN"/>
        </w:rPr>
        <w:t>磋商</w:t>
      </w:r>
      <w:r>
        <w:rPr>
          <w:rFonts w:hint="eastAsia" w:hAnsi="宋体" w:cs="Courier New"/>
          <w:bCs/>
          <w:color w:val="auto"/>
          <w:kern w:val="2"/>
          <w:sz w:val="21"/>
          <w:highlight w:val="none"/>
        </w:rPr>
        <w:t>基准价</w:t>
      </w:r>
      <w:r>
        <w:rPr>
          <w:rFonts w:hint="eastAsia" w:hAnsi="宋体" w:cs="Courier New"/>
          <w:bCs/>
          <w:color w:val="auto"/>
          <w:kern w:val="2"/>
          <w:sz w:val="21"/>
          <w:highlight w:val="none"/>
          <w:lang w:val="en-US" w:eastAsia="zh-CN"/>
        </w:rPr>
        <w:t>其价格分为满分</w:t>
      </w:r>
      <w:r>
        <w:rPr>
          <w:rFonts w:hint="eastAsia" w:hAnsi="宋体" w:cs="Courier New"/>
          <w:bCs/>
          <w:color w:val="auto"/>
          <w:kern w:val="2"/>
          <w:sz w:val="21"/>
          <w:highlight w:val="none"/>
        </w:rPr>
        <w:t>。</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olor w:val="auto"/>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4）某供应商价格分</w:t>
      </w:r>
      <w:r>
        <w:rPr>
          <w:rFonts w:hint="eastAsia" w:hAnsi="宋体" w:cs="Courier New"/>
          <w:bCs/>
          <w:color w:val="auto"/>
          <w:kern w:val="2"/>
          <w:sz w:val="21"/>
          <w:highlight w:val="none"/>
        </w:rPr>
        <w:t>=（磋商基准价/</w:t>
      </w:r>
      <w:r>
        <w:rPr>
          <w:rFonts w:hint="eastAsia" w:hAnsi="宋体" w:cs="Courier New"/>
          <w:bCs/>
          <w:color w:val="auto"/>
          <w:kern w:val="2"/>
          <w:sz w:val="21"/>
          <w:highlight w:val="none"/>
          <w:lang w:val="en-US" w:eastAsia="zh-CN"/>
        </w:rPr>
        <w:t>某供应商的</w:t>
      </w:r>
      <w:r>
        <w:rPr>
          <w:rFonts w:hint="eastAsia" w:ascii="宋体" w:hAnsi="宋体"/>
          <w:color w:val="auto"/>
          <w:sz w:val="21"/>
          <w:szCs w:val="21"/>
          <w:highlight w:val="none"/>
        </w:rPr>
        <w:t>评审价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10</w:t>
      </w:r>
      <w:r>
        <w:rPr>
          <w:rFonts w:hint="eastAsia" w:hAnsi="宋体" w:cs="Courier New"/>
          <w:bCs/>
          <w:color w:val="auto"/>
          <w:kern w:val="2"/>
          <w:sz w:val="21"/>
          <w:highlight w:val="none"/>
          <w:u w:val="single"/>
        </w:rPr>
        <w:t>分</w:t>
      </w:r>
    </w:p>
    <w:p>
      <w:pPr>
        <w:pStyle w:val="20"/>
        <w:keepLines w:val="0"/>
        <w:pageBreakBefore w:val="0"/>
        <w:widowControl w:val="0"/>
        <w:numPr>
          <w:ilvl w:val="0"/>
          <w:numId w:val="1"/>
        </w:numPr>
        <w:kinsoku/>
        <w:wordWrap/>
        <w:overflowPunct/>
        <w:topLinePunct w:val="0"/>
        <w:autoSpaceDE/>
        <w:autoSpaceDN/>
        <w:bidi w:val="0"/>
        <w:adjustRightInd/>
        <w:snapToGrid/>
        <w:spacing w:line="312"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技术</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val="en-US" w:eastAsia="zh-CN"/>
        </w:rPr>
        <w:t>满分60</w:t>
      </w:r>
      <w:r>
        <w:rPr>
          <w:rFonts w:hint="eastAsia" w:asciiTheme="minorEastAsia" w:hAnsiTheme="minorEastAsia" w:eastAsiaTheme="minorEastAsia" w:cstheme="minorEastAsia"/>
          <w:b/>
          <w:bCs/>
          <w:color w:val="auto"/>
          <w:sz w:val="21"/>
          <w:szCs w:val="21"/>
          <w:highlight w:val="none"/>
        </w:rPr>
        <w:t>分</w:t>
      </w:r>
    </w:p>
    <w:p>
      <w:pPr>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cs="Courier New"/>
          <w:b/>
          <w:color w:val="auto"/>
          <w:szCs w:val="21"/>
          <w:highlight w:val="none"/>
        </w:rPr>
      </w:pPr>
      <w:r>
        <w:rPr>
          <w:rFonts w:hint="eastAsia" w:ascii="宋体" w:hAnsi="宋体" w:cs="Courier New"/>
          <w:b/>
          <w:color w:val="auto"/>
          <w:szCs w:val="21"/>
          <w:highlight w:val="none"/>
        </w:rPr>
        <w:t>2.1对项目情况的理解（满分</w:t>
      </w:r>
      <w:r>
        <w:rPr>
          <w:rFonts w:hint="eastAsia" w:ascii="宋体" w:hAnsi="宋体" w:cs="Courier New"/>
          <w:b/>
          <w:color w:val="auto"/>
          <w:szCs w:val="21"/>
          <w:highlight w:val="none"/>
          <w:lang w:val="en-US" w:eastAsia="zh-CN"/>
        </w:rPr>
        <w:t>5</w:t>
      </w:r>
      <w:r>
        <w:rPr>
          <w:rFonts w:hint="eastAsia" w:ascii="宋体" w:hAnsi="宋体" w:cs="Courier New"/>
          <w:b/>
          <w:color w:val="auto"/>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一档（1分）：基本能够理解本项目的特点；提出的项目方案基本可行。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二档（3分）：较准确理解本项目的特点；有把握本项目的重点、难点和要点；提项目方案较完整可行。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三档（5分）：准确理解本项目的特点；有把握本项目的重点、难点和要点；项目方案全面、准确、科学合理。</w:t>
      </w:r>
    </w:p>
    <w:p>
      <w:pPr>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Courier New"/>
          <w:b/>
          <w:color w:val="auto"/>
          <w:szCs w:val="21"/>
          <w:highlight w:val="none"/>
        </w:rPr>
        <w:t>2.</w:t>
      </w:r>
      <w:r>
        <w:rPr>
          <w:rFonts w:hint="eastAsia" w:ascii="宋体" w:hAnsi="宋体" w:cs="Courier New"/>
          <w:b/>
          <w:color w:val="auto"/>
          <w:szCs w:val="21"/>
          <w:highlight w:val="none"/>
          <w:lang w:val="en-US" w:eastAsia="zh-CN"/>
        </w:rPr>
        <w:t>2实施计划安排分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满分</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（说明：</w:t>
      </w:r>
      <w:r>
        <w:rPr>
          <w:rFonts w:hint="eastAsia" w:ascii="宋体" w:hAnsi="宋体" w:eastAsia="宋体" w:cs="宋体"/>
          <w:color w:val="auto"/>
          <w:sz w:val="21"/>
          <w:szCs w:val="21"/>
          <w:highlight w:val="none"/>
        </w:rPr>
        <w:t>供应商没有提供实施计划安排</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得0分</w:t>
      </w:r>
      <w:r>
        <w:rPr>
          <w:rFonts w:hint="eastAsia" w:ascii="宋体" w:hAnsi="宋体" w:cs="宋体"/>
          <w:color w:val="auto"/>
          <w:sz w:val="21"/>
          <w:szCs w:val="21"/>
          <w:highlight w:val="none"/>
          <w:lang w:eastAsia="zh-CN"/>
        </w:rPr>
        <w:t>；</w:t>
      </w:r>
      <w:r>
        <w:rPr>
          <w:rFonts w:hint="eastAsia"/>
          <w:color w:val="auto"/>
          <w:highlight w:val="none"/>
          <w:lang w:val="en-US" w:eastAsia="zh-CN"/>
        </w:rPr>
        <w:t>以下各项内容不重复计分，不符合任一评审标准的不得分。</w:t>
      </w:r>
      <w:r>
        <w:rPr>
          <w:rFonts w:hint="eastAsia" w:asciiTheme="minorEastAsia" w:hAnsiTheme="minorEastAsia" w:eastAsiaTheme="minorEastAsia" w:cstheme="minorEastAsia"/>
          <w:b w:val="0"/>
          <w:bCs w:val="0"/>
          <w:color w:val="auto"/>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一档（</w:t>
      </w:r>
      <w:r>
        <w:rPr>
          <w:rFonts w:hint="eastAsia"/>
          <w:lang w:val="en-US" w:eastAsia="zh-CN"/>
        </w:rPr>
        <w:t>5</w:t>
      </w:r>
      <w:r>
        <w:rPr>
          <w:rFonts w:hint="eastAsia"/>
        </w:rPr>
        <w:t>分）：有实施计划安排。</w:t>
      </w: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二档（1</w:t>
      </w:r>
      <w:r>
        <w:rPr>
          <w:rFonts w:hint="eastAsia"/>
          <w:lang w:val="en-US" w:eastAsia="zh-CN"/>
        </w:rPr>
        <w:t>0</w:t>
      </w:r>
      <w:r>
        <w:rPr>
          <w:rFonts w:hint="eastAsia"/>
        </w:rPr>
        <w:t>分）：有详细的</w:t>
      </w:r>
      <w:r>
        <w:rPr>
          <w:rFonts w:hint="eastAsia"/>
          <w:lang w:eastAsia="zh-CN"/>
        </w:rPr>
        <w:t>针对本项目的</w:t>
      </w:r>
      <w:r>
        <w:rPr>
          <w:rFonts w:hint="eastAsia"/>
        </w:rPr>
        <w:t>实施计划安排，有内容方向、人员安排、进度安排等方面的描述。</w:t>
      </w: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三档（</w:t>
      </w:r>
      <w:r>
        <w:rPr>
          <w:rFonts w:hint="eastAsia"/>
          <w:lang w:val="en-US" w:eastAsia="zh-CN"/>
        </w:rPr>
        <w:t>15</w:t>
      </w:r>
      <w:r>
        <w:rPr>
          <w:rFonts w:hint="eastAsia"/>
        </w:rPr>
        <w:t>分）：有详细的</w:t>
      </w:r>
      <w:r>
        <w:rPr>
          <w:rFonts w:hint="eastAsia"/>
          <w:lang w:eastAsia="zh-CN"/>
        </w:rPr>
        <w:t>针对本项目的</w:t>
      </w:r>
      <w:r>
        <w:rPr>
          <w:rFonts w:hint="eastAsia"/>
        </w:rPr>
        <w:t>实施计划安排，有合理可行的组织方案、有详细的人员培训安排、有合理可行的进度安排。</w:t>
      </w:r>
    </w:p>
    <w:p>
      <w:pPr>
        <w:pStyle w:val="2"/>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Courier New"/>
          <w:b/>
          <w:color w:val="auto"/>
          <w:kern w:val="2"/>
          <w:sz w:val="21"/>
          <w:szCs w:val="21"/>
          <w:highlight w:val="none"/>
          <w:lang w:val="en-US" w:eastAsia="zh-CN" w:bidi="ar-SA"/>
        </w:rPr>
      </w:pPr>
      <w:r>
        <w:rPr>
          <w:rFonts w:hint="eastAsia" w:ascii="宋体" w:hAnsi="宋体" w:eastAsia="宋体" w:cs="Courier New"/>
          <w:b/>
          <w:color w:val="auto"/>
          <w:kern w:val="2"/>
          <w:sz w:val="21"/>
          <w:szCs w:val="21"/>
          <w:highlight w:val="none"/>
          <w:lang w:val="en-US" w:eastAsia="zh-CN" w:bidi="ar-SA"/>
        </w:rPr>
        <w:t>2.3视频制作方案分（满分20分）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一档（10分）：整体方案简单，实施计划不够细致，对项目实施了解不够全面；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二档（15分）：整体方案较完善可行，实施计划划较详细，对项目实施有一定了解；</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三档（20分）：整体方案完善可行，方案内容包括前期策划、脚本文案、拍摄计划、后期包装，实施计划详细具体、有保证，对项目实施全面了解、定位准确。</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cs="Courier New"/>
          <w:b/>
          <w:color w:val="auto"/>
          <w:kern w:val="2"/>
          <w:sz w:val="21"/>
          <w:szCs w:val="21"/>
          <w:highlight w:val="none"/>
          <w:lang w:val="en-US" w:eastAsia="zh-CN" w:bidi="ar-SA"/>
        </w:rPr>
      </w:pPr>
      <w:r>
        <w:rPr>
          <w:rFonts w:hint="eastAsia" w:ascii="宋体" w:hAnsi="宋体" w:eastAsia="宋体" w:cs="Courier New"/>
          <w:b/>
          <w:color w:val="auto"/>
          <w:kern w:val="2"/>
          <w:sz w:val="21"/>
          <w:szCs w:val="21"/>
          <w:highlight w:val="none"/>
          <w:lang w:val="en-US" w:eastAsia="zh-CN" w:bidi="ar-SA"/>
        </w:rPr>
        <w:t>2.</w:t>
      </w:r>
      <w:r>
        <w:rPr>
          <w:rFonts w:hint="eastAsia" w:ascii="宋体" w:hAnsi="宋体" w:cs="Courier New"/>
          <w:b/>
          <w:color w:val="auto"/>
          <w:kern w:val="2"/>
          <w:sz w:val="21"/>
          <w:szCs w:val="21"/>
          <w:highlight w:val="none"/>
          <w:lang w:val="en-US" w:eastAsia="zh-CN" w:bidi="ar-SA"/>
        </w:rPr>
        <w:t>4服务方案分（满分10分）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一档（</w:t>
      </w:r>
      <w:r>
        <w:rPr>
          <w:rFonts w:hint="eastAsia" w:ascii="Times New Roman" w:hAnsi="Times New Roman"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分）：基本满足采购文件要求，有项目执行组织措施、项目执行保障措施，实施组织方案有欠缺；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二档（</w:t>
      </w:r>
      <w:r>
        <w:rPr>
          <w:rFonts w:hint="eastAsia" w:ascii="Times New Roman" w:hAnsi="Times New Roman"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分）：满足采购文件要求，项目执行组织措施、项目执行保障措施详细可行，方案资料齐全、实施组织方案内容简单；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三档（</w:t>
      </w:r>
      <w:r>
        <w:rPr>
          <w:rFonts w:hint="eastAsia" w:ascii="Times New Roman" w:hAnsi="Times New Roman" w:cs="Times New Roman"/>
          <w:kern w:val="2"/>
          <w:sz w:val="21"/>
          <w:szCs w:val="24"/>
          <w:lang w:val="en-US" w:eastAsia="zh-CN" w:bidi="ar-SA"/>
        </w:rPr>
        <w:t>10</w:t>
      </w:r>
      <w:r>
        <w:rPr>
          <w:rFonts w:hint="eastAsia" w:ascii="Times New Roman" w:hAnsi="Times New Roman" w:eastAsia="宋体" w:cs="Times New Roman"/>
          <w:kern w:val="2"/>
          <w:sz w:val="21"/>
          <w:szCs w:val="24"/>
          <w:lang w:val="en-US" w:eastAsia="zh-CN" w:bidi="ar-SA"/>
        </w:rPr>
        <w:t>分）：</w:t>
      </w:r>
      <w:r>
        <w:rPr>
          <w:rFonts w:hint="eastAsia" w:ascii="Times New Roman" w:hAnsi="Times New Roman" w:cs="Times New Roman"/>
          <w:kern w:val="2"/>
          <w:sz w:val="21"/>
          <w:szCs w:val="24"/>
          <w:lang w:val="en-US" w:eastAsia="zh-CN" w:bidi="ar-SA"/>
        </w:rPr>
        <w:t>优于</w:t>
      </w:r>
      <w:r>
        <w:rPr>
          <w:rFonts w:hint="eastAsia" w:ascii="Times New Roman" w:hAnsi="Times New Roman" w:eastAsia="宋体" w:cs="Times New Roman"/>
          <w:kern w:val="2"/>
          <w:sz w:val="21"/>
          <w:szCs w:val="24"/>
          <w:lang w:val="en-US" w:eastAsia="zh-CN" w:bidi="ar-SA"/>
        </w:rPr>
        <w:t>采购文件要求，项目执行组织措施、项目执行保障措施详细可行，熟悉项目流程及业务，方案资料齐全，实施组织方案完善，有可操作的应急预案方案，所有拍摄素材有备份，拍摄制作过程中能保证素材不丢失泄密，可为采购人提供更好的实施措施等。</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cs="Times New Roman"/>
          <w:b/>
          <w:bCs/>
          <w:kern w:val="2"/>
          <w:sz w:val="21"/>
          <w:szCs w:val="24"/>
          <w:lang w:val="en-US" w:eastAsia="zh-CN" w:bidi="ar-SA"/>
        </w:rPr>
        <w:t>2.5</w:t>
      </w:r>
      <w:r>
        <w:rPr>
          <w:rFonts w:hint="eastAsia" w:ascii="Times New Roman" w:hAnsi="Times New Roman" w:eastAsia="宋体" w:cs="Times New Roman"/>
          <w:b/>
          <w:bCs/>
          <w:kern w:val="2"/>
          <w:sz w:val="21"/>
          <w:szCs w:val="24"/>
          <w:lang w:val="en-US" w:eastAsia="zh-CN" w:bidi="ar-SA"/>
        </w:rPr>
        <w:t>设备配置分（满分</w:t>
      </w:r>
      <w:r>
        <w:rPr>
          <w:rFonts w:hint="eastAsia" w:ascii="Times New Roman" w:hAnsi="Times New Roman" w:cs="Times New Roman"/>
          <w:b/>
          <w:bCs/>
          <w:kern w:val="2"/>
          <w:sz w:val="21"/>
          <w:szCs w:val="24"/>
          <w:lang w:val="en-US" w:eastAsia="zh-CN" w:bidi="ar-SA"/>
        </w:rPr>
        <w:t>10</w:t>
      </w:r>
      <w:r>
        <w:rPr>
          <w:rFonts w:hint="eastAsia" w:ascii="Times New Roman" w:hAnsi="Times New Roman" w:eastAsia="宋体" w:cs="Times New Roman"/>
          <w:b/>
          <w:bCs/>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一档（</w:t>
      </w:r>
      <w:r>
        <w:rPr>
          <w:rFonts w:hint="eastAsia" w:ascii="Times New Roman" w:hAnsi="Times New Roman"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分）：基本配备满足项目需求的设备，仅能满足项目需求。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二档（</w:t>
      </w:r>
      <w:r>
        <w:rPr>
          <w:rFonts w:hint="eastAsia" w:ascii="Times New Roman" w:hAnsi="Times New Roman"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分）：配备有满足项目所需的所有拍摄设备，设备使用情况良好，配备专业摄影机、录音小蜜蜂和简易灯光，后期采用普通电脑制作。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三档（</w:t>
      </w:r>
      <w:r>
        <w:rPr>
          <w:rFonts w:hint="eastAsia" w:ascii="Times New Roman" w:hAnsi="Times New Roman" w:cs="Times New Roman"/>
          <w:kern w:val="2"/>
          <w:sz w:val="21"/>
          <w:szCs w:val="24"/>
          <w:lang w:val="en-US" w:eastAsia="zh-CN" w:bidi="ar-SA"/>
        </w:rPr>
        <w:t>10</w:t>
      </w:r>
      <w:r>
        <w:rPr>
          <w:rFonts w:hint="eastAsia" w:ascii="Times New Roman" w:hAnsi="Times New Roman" w:eastAsia="宋体" w:cs="Times New Roman"/>
          <w:kern w:val="2"/>
          <w:sz w:val="21"/>
          <w:szCs w:val="24"/>
          <w:lang w:val="en-US" w:eastAsia="zh-CN" w:bidi="ar-SA"/>
        </w:rPr>
        <w:t>分）：配备有满足项目所需的所有专业设备及备用专业设备，配备专业电影机、稳定器、滑轨、专业挑杆话筒及录音设备和专业影视灯光，后期采用苹果专业非编工作站，且有拍摄专用车辆。</w:t>
      </w:r>
    </w:p>
    <w:p>
      <w:pPr>
        <w:pStyle w:val="2"/>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default" w:ascii="宋体" w:hAnsi="宋体" w:eastAsia="宋体" w:cs="Courier New"/>
          <w:b/>
          <w:color w:val="auto"/>
          <w:kern w:val="2"/>
          <w:sz w:val="21"/>
          <w:szCs w:val="21"/>
          <w:highlight w:val="none"/>
          <w:lang w:val="en-US" w:eastAsia="zh-CN" w:bidi="ar-SA"/>
        </w:rPr>
      </w:pPr>
    </w:p>
    <w:p>
      <w:pPr>
        <w:pStyle w:val="2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3、商务分</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满分30</w:t>
      </w:r>
      <w:r>
        <w:rPr>
          <w:rFonts w:hint="eastAsia" w:asciiTheme="minorEastAsia" w:hAnsiTheme="minorEastAsia" w:eastAsiaTheme="minorEastAsia" w:cstheme="minorEastAsia"/>
          <w:b/>
          <w:bCs/>
          <w:color w:val="auto"/>
          <w:sz w:val="21"/>
          <w:szCs w:val="21"/>
          <w:highlight w:val="none"/>
        </w:rPr>
        <w:t>分</w:t>
      </w:r>
    </w:p>
    <w:p>
      <w:pPr>
        <w:pStyle w:val="2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3.1拟投入的项目的专业技术人员分（满分20分）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导演资格评定范围：具备导演相关专业四级、三级、二级、一级技术职称的，其中具备四级技术职称（3分）、三级技术职称（6分）、二级及以上技术职称（10分）。提供相关证明材料：响应截止时间前6个月内，供应商为其缴纳的任意连续3个月的社保缴费证明记录复印件加盖供应商公章，如属于退休后返聘人员则需提供相关的证明材料。</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剪辑师资格评定范围：具备剪辑相关专业四级、三级、二级、一级技术职称的，其中具备四级技术职称（3分）、三级技术职称（6分）、二级及以上技术职称（10分）。提供相关证明材料：响应截止时间前6个月内，供应商为其缴纳的任意连续3个月的社保缴费证明记录复印件加盖供应商公章，如属于退休后返聘人员则需提供相关的证明材料。</w:t>
      </w:r>
    </w:p>
    <w:p>
      <w:pPr>
        <w:pStyle w:val="2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3.2</w:t>
      </w:r>
      <w:r>
        <w:rPr>
          <w:rFonts w:hint="eastAsia" w:asciiTheme="minorEastAsia" w:hAnsiTheme="minorEastAsia" w:eastAsiaTheme="minorEastAsia" w:cstheme="minorEastAsia"/>
          <w:b/>
          <w:bCs/>
          <w:color w:val="auto"/>
          <w:sz w:val="21"/>
          <w:szCs w:val="21"/>
          <w:highlight w:val="none"/>
          <w:lang w:eastAsia="zh-CN"/>
        </w:rPr>
        <w:t>信誉业绩</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满分10</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p>
    <w:p>
      <w:pPr>
        <w:pStyle w:val="3"/>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自2018年1月1日以来，供应商或其投入的团队成员中有获得影视相关领域国家级、省（区）级奖项的，国家级每获得一个奖项得3分，省（区）级每获得一个奖项得2分，本项满分6分（须在响应文件中提供有效证书的复印件并加盖供应商公章，否则不得分，原件备查）。</w:t>
      </w:r>
    </w:p>
    <w:p>
      <w:pPr>
        <w:pStyle w:val="3"/>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（2）2018年1月1日以来，供应商有类似项目成功案例，每个项目得1分，最高得4分（以提供中标/成交通知书或合同复印件为准。）</w:t>
      </w:r>
    </w:p>
    <w:p>
      <w:pPr>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（四）总得分=1+2+3</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p>
    <w:p>
      <w:pPr>
        <w:pStyle w:val="20"/>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三、成交候选人推荐原则</w:t>
      </w:r>
    </w:p>
    <w:p>
      <w:pPr>
        <w:pStyle w:val="2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（一）磋商小组将根据得分由高到低排列次序（得分相同时，以最终报价由低到高顺序排列；得分相同且最终报价相同的，依次按</w:t>
      </w:r>
      <w:r>
        <w:rPr>
          <w:rFonts w:hint="eastAsia" w:asciiTheme="minorEastAsia" w:hAnsiTheme="minorEastAsia" w:eastAsiaTheme="minorEastAsia" w:cstheme="minorEastAsia"/>
          <w:bCs/>
          <w:color w:val="auto"/>
          <w:sz w:val="21"/>
          <w:szCs w:val="21"/>
          <w:highlight w:val="none"/>
          <w:lang w:val="en-US" w:eastAsia="zh-CN"/>
        </w:rPr>
        <w:t>技术分</w:t>
      </w:r>
      <w:r>
        <w:rPr>
          <w:rFonts w:hint="eastAsia" w:asciiTheme="minorEastAsia" w:hAnsiTheme="minorEastAsia" w:eastAsiaTheme="minorEastAsia" w:cstheme="minorEastAsia"/>
          <w:bCs/>
          <w:color w:val="auto"/>
          <w:sz w:val="21"/>
          <w:szCs w:val="21"/>
          <w:highlight w:val="none"/>
        </w:rPr>
        <w:t>由高到低、</w:t>
      </w:r>
      <w:r>
        <w:rPr>
          <w:rFonts w:hint="eastAsia" w:asciiTheme="minorEastAsia" w:hAnsiTheme="minorEastAsia" w:eastAsiaTheme="minorEastAsia" w:cstheme="minorEastAsia"/>
          <w:bCs/>
          <w:color w:val="auto"/>
          <w:sz w:val="21"/>
          <w:szCs w:val="21"/>
          <w:highlight w:val="none"/>
          <w:lang w:eastAsia="zh-CN"/>
        </w:rPr>
        <w:t>商务</w:t>
      </w:r>
      <w:r>
        <w:rPr>
          <w:rFonts w:hint="eastAsia" w:asciiTheme="minorEastAsia" w:hAnsiTheme="minorEastAsia" w:eastAsiaTheme="minorEastAsia" w:cstheme="minorEastAsia"/>
          <w:bCs/>
          <w:color w:val="auto"/>
          <w:sz w:val="21"/>
          <w:szCs w:val="21"/>
          <w:highlight w:val="none"/>
        </w:rPr>
        <w:t>分由高到低顺序排列</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并推荐成交候选人3名。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Theme="minorEastAsia" w:hAnsiTheme="minorEastAsia" w:eastAsiaTheme="minorEastAsia" w:cstheme="minorEastAsia"/>
          <w:b w:val="0"/>
          <w:bCs w:val="0"/>
          <w:color w:val="auto"/>
          <w:sz w:val="21"/>
          <w:szCs w:val="21"/>
          <w:highlight w:val="none"/>
          <w:lang w:eastAsia="zh-CN"/>
        </w:rPr>
        <w:t>成交供应商拒绝签订采购合同的，采购人可以按照"从评审报告提出的成交候选供应商中，按照排序由高到低"规定的原则确定其他供应商作为成交供应商并签订采购合同，也可以重新开展采购活动。拒绝签订采购合同的成交供应商不得参加对该项目重新开展的采购活动。</w:t>
      </w:r>
    </w:p>
    <w:p>
      <w:pPr>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highlight w:val="none"/>
          <w:lang w:eastAsia="zh-CN"/>
        </w:rPr>
      </w:pPr>
    </w:p>
    <w:p>
      <w:pPr>
        <w:pStyle w:val="20"/>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四、特别说明</w:t>
      </w:r>
    </w:p>
    <w:p>
      <w:pPr>
        <w:pStyle w:val="2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（一）</w:t>
      </w:r>
      <w:r>
        <w:rPr>
          <w:rFonts w:hint="eastAsia" w:asciiTheme="minorEastAsia" w:hAnsiTheme="minorEastAsia" w:eastAsiaTheme="minorEastAsia" w:cstheme="minorEastAsia"/>
          <w:bCs/>
          <w:color w:val="auto"/>
          <w:sz w:val="21"/>
          <w:szCs w:val="21"/>
          <w:highlight w:val="none"/>
        </w:rPr>
        <w:t>磋商小组认为供应商的竞标报价明显低于其他通过符合性审查供应商的竞标报价，有可能影响产品（或服务）质量或者不能诚信履约的，应当要求其在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现场合理的时间内提供书面说明，必要时提交相关证明材料；供应商不能证明其竞标报价合理性的，磋商小组应当将其作为无效磋商处理。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（二）以上评审内容需要提供材料的，除必要的原件核对外，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如能够在线查询的材料，请提供查询网址链接，可以不用同时提供纸质材料。</w:t>
      </w: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42" w:name="_Toc26773"/>
      <w:r>
        <w:rPr>
          <w:rFonts w:hint="eastAsia" w:asciiTheme="minorEastAsia" w:hAnsiTheme="minorEastAsia" w:eastAsiaTheme="minorEastAsia" w:cstheme="minorEastAsia"/>
          <w:b/>
          <w:color w:val="auto"/>
          <w:sz w:val="32"/>
          <w:szCs w:val="32"/>
          <w:highlight w:val="none"/>
        </w:rPr>
        <w:t xml:space="preserve">第四章 </w:t>
      </w:r>
      <w:r>
        <w:rPr>
          <w:rFonts w:hint="eastAsia"/>
          <w:b/>
          <w:bCs/>
          <w:color w:val="auto"/>
          <w:sz w:val="32"/>
          <w:szCs w:val="32"/>
          <w:highlight w:val="none"/>
        </w:rPr>
        <w:t>拟签订的合同文本</w:t>
      </w:r>
      <w:bookmarkEnd w:id="42"/>
    </w:p>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30"/>
          <w:szCs w:val="30"/>
          <w:highlight w:val="none"/>
        </w:rPr>
        <w:t>合同封面）</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合同类别：技术服务类</w:t>
      </w: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auto"/>
          <w:sz w:val="44"/>
          <w:szCs w:val="44"/>
          <w:highlight w:val="none"/>
          <w:lang w:eastAsia="zh-CN"/>
        </w:rPr>
      </w:pPr>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lang w:eastAsia="zh-CN"/>
        </w:rPr>
        <w:t>采购</w:t>
      </w:r>
      <w:r>
        <w:rPr>
          <w:rFonts w:hint="eastAsia" w:asciiTheme="minorEastAsia" w:hAnsiTheme="minorEastAsia" w:eastAsiaTheme="minorEastAsia" w:cstheme="minorEastAsia"/>
          <w:b/>
          <w:color w:val="auto"/>
          <w:sz w:val="44"/>
          <w:szCs w:val="44"/>
          <w:highlight w:val="none"/>
        </w:rPr>
        <w:t>合同</w:t>
      </w:r>
    </w:p>
    <w:p>
      <w:pPr>
        <w:ind w:firstLine="560" w:firstLineChars="200"/>
        <w:jc w:val="center"/>
        <w:rPr>
          <w:rFonts w:hint="eastAsia" w:asciiTheme="minorEastAsia" w:hAnsiTheme="minorEastAsia" w:eastAsiaTheme="minorEastAsia" w:cstheme="minorEastAsia"/>
          <w:color w:val="auto"/>
          <w:sz w:val="28"/>
          <w:szCs w:val="28"/>
          <w:highlight w:val="none"/>
        </w:rPr>
      </w:pPr>
    </w:p>
    <w:p>
      <w:pPr>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（年度</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p>
    <w:p>
      <w:pPr>
        <w:ind w:firstLine="600" w:firstLineChars="200"/>
        <w:jc w:val="center"/>
        <w:rPr>
          <w:rFonts w:hint="eastAsia" w:asciiTheme="minorEastAsia" w:hAnsiTheme="minorEastAsia" w:eastAsiaTheme="minorEastAsia" w:cstheme="minorEastAsia"/>
          <w:color w:val="auto"/>
          <w:sz w:val="30"/>
          <w:szCs w:val="30"/>
          <w:highlight w:val="none"/>
        </w:rPr>
      </w:pPr>
    </w:p>
    <w:p>
      <w:pPr>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项目名称：</w:t>
      </w:r>
    </w:p>
    <w:p>
      <w:pPr>
        <w:spacing w:line="360" w:lineRule="auto"/>
        <w:ind w:firstLine="1200" w:firstLineChars="4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（分标子项目）：</w:t>
      </w:r>
    </w:p>
    <w:p>
      <w:pPr>
        <w:pStyle w:val="2"/>
        <w:rPr>
          <w:rFonts w:hint="eastAsia" w:asciiTheme="minorEastAsia" w:hAnsiTheme="minorEastAsia" w:eastAsiaTheme="minorEastAsia" w:cstheme="minorEastAsia"/>
          <w:color w:val="auto"/>
          <w:sz w:val="30"/>
          <w:szCs w:val="30"/>
          <w:highlight w:val="none"/>
        </w:rPr>
      </w:pPr>
    </w:p>
    <w:p>
      <w:pPr>
        <w:pStyle w:val="2"/>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合同编号：</w:t>
      </w:r>
    </w:p>
    <w:p>
      <w:pPr>
        <w:spacing w:line="360" w:lineRule="auto"/>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（本项目为目录外标准下）</w:t>
      </w: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甲方(采购人名称) ：</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default"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乙方(供应商名称)：</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pStyle w:val="20"/>
        <w:jc w:val="center"/>
        <w:rPr>
          <w:rFonts w:hAnsi="宋体" w:cs="Times New Roman"/>
          <w:color w:val="auto"/>
          <w:sz w:val="30"/>
          <w:szCs w:val="30"/>
          <w:highlight w:val="none"/>
        </w:rPr>
      </w:pPr>
      <w:r>
        <w:rPr>
          <w:rFonts w:hint="eastAsia" w:hAnsi="宋体" w:cs="Times New Roman"/>
          <w:color w:val="auto"/>
          <w:sz w:val="30"/>
          <w:szCs w:val="30"/>
          <w:highlight w:val="none"/>
        </w:rPr>
        <w:t>签</w:t>
      </w:r>
      <w:r>
        <w:rPr>
          <w:rFonts w:hAnsi="宋体" w:cs="Times New Roman"/>
          <w:color w:val="auto"/>
          <w:sz w:val="30"/>
          <w:szCs w:val="30"/>
          <w:highlight w:val="none"/>
        </w:rPr>
        <w:t xml:space="preserve"> </w:t>
      </w:r>
      <w:r>
        <w:rPr>
          <w:rFonts w:hint="eastAsia" w:hAnsi="宋体" w:cs="Times New Roman"/>
          <w:color w:val="auto"/>
          <w:sz w:val="30"/>
          <w:szCs w:val="30"/>
          <w:highlight w:val="none"/>
        </w:rPr>
        <w:t>订</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r>
        <w:rPr>
          <w:rFonts w:hAnsi="宋体" w:cs="Times New Roman"/>
          <w:color w:val="auto"/>
          <w:sz w:val="30"/>
          <w:szCs w:val="30"/>
          <w:highlight w:val="none"/>
        </w:rPr>
        <w:t xml:space="preserve"> </w:t>
      </w:r>
      <w:r>
        <w:rPr>
          <w:rFonts w:hint="eastAsia" w:hAnsi="宋体" w:cs="Times New Roman"/>
          <w:color w:val="auto"/>
          <w:sz w:val="30"/>
          <w:szCs w:val="30"/>
          <w:highlight w:val="none"/>
        </w:rPr>
        <w:t>期：</w:t>
      </w:r>
      <w:r>
        <w:rPr>
          <w:rFonts w:hAnsi="宋体" w:cs="Times New Roman"/>
          <w:color w:val="auto"/>
          <w:sz w:val="30"/>
          <w:szCs w:val="30"/>
          <w:highlight w:val="none"/>
        </w:rPr>
        <w:t xml:space="preserve">       </w:t>
      </w:r>
      <w:r>
        <w:rPr>
          <w:rFonts w:hint="eastAsia" w:hAnsi="宋体" w:cs="Times New Roman"/>
          <w:color w:val="auto"/>
          <w:sz w:val="30"/>
          <w:szCs w:val="30"/>
          <w:highlight w:val="none"/>
        </w:rPr>
        <w:t>年</w:t>
      </w:r>
      <w:r>
        <w:rPr>
          <w:rFonts w:hAnsi="宋体" w:cs="Times New Roman"/>
          <w:color w:val="auto"/>
          <w:sz w:val="30"/>
          <w:szCs w:val="30"/>
          <w:highlight w:val="none"/>
        </w:rPr>
        <w:t xml:space="preserve">    </w:t>
      </w:r>
      <w:r>
        <w:rPr>
          <w:rFonts w:hint="eastAsia" w:hAnsi="宋体" w:cs="Times New Roman"/>
          <w:color w:val="auto"/>
          <w:sz w:val="30"/>
          <w:szCs w:val="30"/>
          <w:highlight w:val="none"/>
        </w:rPr>
        <w:t xml:space="preserve">  月</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p>
    <w:p>
      <w:pPr>
        <w:pStyle w:val="20"/>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黑体" w:cs="Times New Roman"/>
          <w:b/>
          <w:color w:val="auto"/>
          <w:sz w:val="30"/>
          <w:szCs w:val="30"/>
          <w:highlight w:val="none"/>
        </w:rPr>
      </w:pPr>
      <w:r>
        <w:rPr>
          <w:rFonts w:hint="eastAsia" w:asciiTheme="minorEastAsia" w:hAnsiTheme="minorEastAsia" w:eastAsiaTheme="minorEastAsia" w:cstheme="minorEastAsia"/>
          <w:color w:val="auto"/>
          <w:kern w:val="0"/>
          <w:szCs w:val="21"/>
          <w:highlight w:val="none"/>
        </w:rPr>
        <w:br w:type="page"/>
      </w:r>
      <w:r>
        <w:rPr>
          <w:rFonts w:hint="eastAsia" w:ascii="Times New Roman" w:hAnsi="Times New Roman" w:eastAsia="黑体" w:cs="Times New Roman"/>
          <w:b/>
          <w:color w:val="auto"/>
          <w:sz w:val="30"/>
          <w:szCs w:val="30"/>
          <w:highlight w:val="none"/>
        </w:rPr>
        <w:t>一、合同前文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根据《中华人民共和国</w:t>
      </w:r>
      <w:r>
        <w:rPr>
          <w:rFonts w:hint="eastAsia" w:asciiTheme="minorEastAsia" w:hAnsiTheme="minorEastAsia" w:eastAsiaTheme="minorEastAsia" w:cstheme="minorEastAsia"/>
          <w:color w:val="auto"/>
          <w:kern w:val="0"/>
          <w:szCs w:val="21"/>
          <w:highlight w:val="none"/>
          <w:lang w:eastAsia="zh-CN"/>
        </w:rPr>
        <w:t>民法典</w:t>
      </w:r>
      <w:r>
        <w:rPr>
          <w:rFonts w:hint="eastAsia" w:asciiTheme="minorEastAsia" w:hAnsiTheme="minorEastAsia" w:eastAsiaTheme="minorEastAsia" w:cstheme="minorEastAsia"/>
          <w:color w:val="auto"/>
          <w:kern w:val="0"/>
          <w:szCs w:val="21"/>
          <w:highlight w:val="none"/>
        </w:rPr>
        <w:t>》等有关法律法规规定</w:t>
      </w:r>
      <w:r>
        <w:rPr>
          <w:rFonts w:hint="eastAsia" w:asciiTheme="minorEastAsia" w:hAnsiTheme="minorEastAsia" w:eastAsiaTheme="minorEastAsia" w:cstheme="minorEastAsia"/>
          <w:color w:val="auto"/>
          <w:kern w:val="0"/>
          <w:szCs w:val="21"/>
          <w:highlight w:val="none"/>
          <w:lang w:eastAsia="zh-CN"/>
        </w:rPr>
        <w:t>，</w:t>
      </w:r>
      <w:r>
        <w:rPr>
          <w:rFonts w:hint="eastAsia"/>
          <w:color w:val="auto"/>
          <w:highlight w:val="none"/>
        </w:rPr>
        <w:t>按照采购文件规定采购方式、条款和成交供应商的承诺，甲乙双方经协商一致同意签订本合同</w:t>
      </w:r>
      <w:r>
        <w:rPr>
          <w:rFonts w:hint="eastAsia" w:asciiTheme="minorEastAsia" w:hAnsiTheme="minorEastAsia" w:eastAsiaTheme="minorEastAsia" w:cstheme="minorEastAsia"/>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下列文件是构成本合同不可分割的部分：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(1)采购项目需求、磋商文件规定的合同条款；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(3)响应文件技术部分和商务部分；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(4)甲、乙双方商定确认后的补充协议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(5)其他(根据实际情况需要增加的内容)。</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合同标的(根据实际情况填写)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color w:val="auto"/>
          <w:highlight w:val="none"/>
        </w:rPr>
      </w:pPr>
      <w:r>
        <w:rPr>
          <w:rFonts w:hint="eastAsia"/>
          <w:color w:val="auto"/>
          <w:highlight w:val="none"/>
        </w:rPr>
        <w:t>乙方应按照合同的规定，提供本项目采购文件中要求的服务（详见附件：服务内容一览表）。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3.合同金额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合同总金额为人民币______元(______)。本合同项下所有服务的全部税费均已包含于合同价中，甲方不再另行支付。</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4.合同签订地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广西壮族自治区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5.合同生效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cs="Times New Roman"/>
          <w:color w:val="auto"/>
          <w:highlight w:val="none"/>
        </w:rPr>
        <w:t>本合同一式</w:t>
      </w:r>
      <w:r>
        <w:rPr>
          <w:rFonts w:hint="eastAsia" w:cs="Times New Roman"/>
          <w:color w:val="auto"/>
          <w:highlight w:val="none"/>
          <w:lang w:eastAsia="zh-CN"/>
        </w:rPr>
        <w:t>六</w:t>
      </w:r>
      <w:r>
        <w:rPr>
          <w:rFonts w:hint="eastAsia" w:cs="Times New Roman"/>
          <w:color w:val="auto"/>
          <w:highlight w:val="none"/>
        </w:rPr>
        <w:t>份，</w:t>
      </w:r>
      <w:r>
        <w:rPr>
          <w:rFonts w:hint="eastAsia"/>
          <w:color w:val="auto"/>
          <w:highlight w:val="none"/>
        </w:rPr>
        <w:t>具有同等法律效力，甲</w:t>
      </w:r>
      <w:r>
        <w:rPr>
          <w:rFonts w:hint="eastAsia"/>
          <w:color w:val="auto"/>
          <w:highlight w:val="none"/>
          <w:lang w:eastAsia="zh-CN"/>
        </w:rPr>
        <w:t>方三份，</w:t>
      </w:r>
      <w:r>
        <w:rPr>
          <w:rFonts w:hint="eastAsia"/>
          <w:color w:val="auto"/>
          <w:highlight w:val="none"/>
        </w:rPr>
        <w:t>乙方二份，采购代理机构一份（可根据需要另增加）。</w:t>
      </w:r>
      <w:r>
        <w:rPr>
          <w:rFonts w:hint="eastAsia" w:asciiTheme="minorEastAsia" w:hAnsiTheme="minorEastAsia" w:eastAsiaTheme="minorEastAsia" w:cstheme="minorEastAsia"/>
          <w:color w:val="auto"/>
          <w:kern w:val="0"/>
          <w:szCs w:val="21"/>
          <w:highlight w:val="none"/>
        </w:rPr>
        <w:t>经甲乙双方</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或其授权代表签字盖章，并在甲方收到乙方提交的履约保证金后生效。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jc w:val="center"/>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br w:type="page"/>
      </w:r>
      <w:r>
        <w:rPr>
          <w:rFonts w:hint="eastAsia" w:ascii="黑体" w:hAnsi="黑体" w:eastAsia="黑体" w:cs="黑体"/>
          <w:b/>
          <w:color w:val="auto"/>
          <w:kern w:val="0"/>
          <w:sz w:val="30"/>
          <w:szCs w:val="30"/>
          <w:highlight w:val="none"/>
        </w:rPr>
        <w:t>二、合同前附表</w:t>
      </w:r>
    </w:p>
    <w:p>
      <w:pPr>
        <w:jc w:val="center"/>
        <w:rPr>
          <w:rFonts w:hint="eastAsia" w:asciiTheme="minorEastAsia" w:hAnsiTheme="minorEastAsia" w:eastAsiaTheme="minorEastAsia" w:cstheme="minorEastAsia"/>
          <w:b/>
          <w:color w:val="auto"/>
          <w:kern w:val="0"/>
          <w:sz w:val="28"/>
          <w:szCs w:val="21"/>
          <w:highlight w:val="none"/>
        </w:rPr>
      </w:pPr>
    </w:p>
    <w:tbl>
      <w:tblPr>
        <w:tblStyle w:val="4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941"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7941" w:type="dxa"/>
            <w:vAlign w:val="center"/>
          </w:tcPr>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合同名称：</w:t>
            </w:r>
          </w:p>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甲方联系人：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甲方开户银行名称：</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乙方开户银行名称：</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675" w:type="dxa"/>
            <w:vAlign w:val="center"/>
          </w:tcPr>
          <w:p>
            <w:pPr>
              <w:pStyle w:val="2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服务时间、履行期：</w:t>
            </w:r>
            <w:r>
              <w:rPr>
                <w:rFonts w:hint="eastAsia" w:asciiTheme="minorEastAsia" w:hAnsiTheme="minorEastAsia" w:eastAsiaTheme="minorEastAsia" w:cstheme="minorEastAsia"/>
                <w:color w:val="auto"/>
                <w:sz w:val="21"/>
                <w:szCs w:val="21"/>
                <w:highlight w:val="none"/>
                <w:lang w:val="en-US" w:eastAsia="zh-CN"/>
              </w:rPr>
              <w:t>自合同签订之日起一年</w:t>
            </w:r>
            <w:r>
              <w:rPr>
                <w:rFonts w:hint="eastAsia" w:asciiTheme="minorEastAsia" w:hAnsiTheme="minorEastAsia" w:eastAsiaTheme="minorEastAsia" w:cstheme="minorEastAsia"/>
                <w:color w:val="auto"/>
                <w:sz w:val="21"/>
                <w:szCs w:val="21"/>
                <w:highlight w:val="none"/>
                <w:lang w:eastAsia="zh-CN"/>
              </w:rPr>
              <w:t>。</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imes New Roman" w:hAnsi="Times New Roman"/>
                <w:color w:val="auto"/>
                <w:highlight w:val="none"/>
              </w:rPr>
              <w:t>服务地点：</w:t>
            </w:r>
            <w:r>
              <w:rPr>
                <w:rFonts w:hint="eastAsia" w:asciiTheme="minorEastAsia" w:hAnsiTheme="minorEastAsia" w:eastAsiaTheme="minorEastAsia" w:cstheme="minorEastAsia"/>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验收方式及标准：按照采购需求、磋商(响应)文件及国家、行业规定的技术标准及规范</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本项目采用工作目标结算方式。项目实施中双方协商制定工作目标→成交人实施并提交拍摄素材、成品→采购人验收→交付项目进度款。即在项目实施过程中，将项目拆分成不同的具体工作目标和验收单元，以采购人验收目标单元作为支付项目款项的前提条件。成交人每完成一项具体的工作目标，采购人就要开展相关验收，并结算价款。结算时按实际完成的具体目标，结合合同中的项目总价为依据结算。项目的目标拆分和验收单元等由双方协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7941" w:type="dxa"/>
            <w:vAlign w:val="center"/>
          </w:tcPr>
          <w:p>
            <w:pPr>
              <w:pStyle w:val="20"/>
              <w:spacing w:line="360" w:lineRule="auto"/>
              <w:jc w:val="left"/>
              <w:rPr>
                <w:rFonts w:hint="eastAsia" w:asciiTheme="minorEastAsia" w:hAnsiTheme="minorEastAsia" w:eastAsiaTheme="minorEastAsia" w:cstheme="minorEastAsia"/>
                <w:b/>
                <w:i/>
                <w:color w:val="auto"/>
                <w:szCs w:val="21"/>
                <w:highlight w:val="none"/>
                <w:lang w:eastAsia="zh-CN"/>
              </w:rPr>
            </w:pPr>
            <w:r>
              <w:rPr>
                <w:rFonts w:hint="eastAsia" w:asciiTheme="minorEastAsia" w:hAnsiTheme="minorEastAsia" w:eastAsiaTheme="minorEastAsia" w:cstheme="minorEastAsia"/>
                <w:color w:val="auto"/>
                <w:sz w:val="21"/>
                <w:szCs w:val="21"/>
                <w:highlight w:val="none"/>
              </w:rPr>
              <w:t>履约保证金及其返还：</w:t>
            </w:r>
            <w:r>
              <w:rPr>
                <w:rFonts w:hint="eastAsia" w:asciiTheme="minorEastAsia" w:hAnsiTheme="minorEastAsia" w:eastAsiaTheme="minorEastAsia" w:cstheme="minor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违约金约定：1.乙方违约或无正当理由造成解除合同的，按合同价款的10%计算。逾期退回款项及违约金的，每逾期一天，按应退款项及违约金总额的0.5%计算违约金。2.其它违约行为按违约服务款额5%收取违约金。</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误期赔偿费约定：如果乙方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hAnsi="宋体"/>
                <w:color w:val="auto"/>
                <w:highlight w:val="none"/>
              </w:rPr>
              <w:t>罚责条款：项目建设和运维过程中，因系统在对接、运行等服务中，导致其他系统受到影响的，由</w:t>
            </w:r>
            <w:r>
              <w:rPr>
                <w:rFonts w:hint="eastAsia" w:hAnsi="宋体"/>
                <w:color w:val="auto"/>
                <w:highlight w:val="none"/>
                <w:lang w:eastAsia="zh-CN"/>
              </w:rPr>
              <w:t>乙方</w:t>
            </w:r>
            <w:r>
              <w:rPr>
                <w:rFonts w:hint="eastAsia" w:hAnsi="宋体"/>
                <w:color w:val="auto"/>
                <w:highlight w:val="none"/>
              </w:rPr>
              <w:t>负责组织相关服务厂商共同排查，明确问题根源、责任并报告甲方。</w:t>
            </w:r>
            <w:r>
              <w:rPr>
                <w:rFonts w:hint="eastAsia" w:hAnsi="宋体"/>
                <w:color w:val="auto"/>
                <w:highlight w:val="none"/>
                <w:lang w:eastAsia="zh-CN"/>
              </w:rPr>
              <w:t>乙方</w:t>
            </w:r>
            <w:r>
              <w:rPr>
                <w:rFonts w:hint="eastAsia" w:hAnsi="宋体"/>
                <w:color w:val="auto"/>
                <w:highlight w:val="none"/>
              </w:rPr>
              <w:t>无法判定问题根源的，由</w:t>
            </w:r>
            <w:r>
              <w:rPr>
                <w:rFonts w:hint="eastAsia" w:hAnsi="宋体"/>
                <w:color w:val="auto"/>
                <w:highlight w:val="none"/>
                <w:lang w:eastAsia="zh-CN"/>
              </w:rPr>
              <w:t>乙方</w:t>
            </w:r>
            <w:r>
              <w:rPr>
                <w:rFonts w:hint="eastAsia" w:hAnsi="宋体"/>
                <w:color w:val="auto"/>
                <w:highlight w:val="none"/>
              </w:rPr>
              <w:t>承担全部责任。甲方将根据问题的轻重、</w:t>
            </w:r>
            <w:r>
              <w:rPr>
                <w:rFonts w:hint="eastAsia" w:hAnsi="宋体"/>
                <w:color w:val="auto"/>
                <w:highlight w:val="none"/>
                <w:lang w:eastAsia="zh-CN"/>
              </w:rPr>
              <w:t>乙方</w:t>
            </w:r>
            <w:r>
              <w:rPr>
                <w:rFonts w:hint="eastAsia" w:hAnsi="宋体"/>
                <w:color w:val="auto"/>
                <w:highlight w:val="none"/>
              </w:rPr>
              <w:t>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75" w:type="dxa"/>
            <w:vAlign w:val="center"/>
          </w:tcPr>
          <w:p>
            <w:pPr>
              <w:pStyle w:val="2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14</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合同纠纷的解决方式：</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首先通过双方协商解决，协商解决不成，则通过以下途径之一解决纠纷(请在方框内画“√”选择)：</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提请______仲裁委员会按照仲裁程序在______(仲裁地)仲裁</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向人民法院提起诉讼</w:t>
            </w:r>
          </w:p>
        </w:tc>
      </w:tr>
    </w:tbl>
    <w:p>
      <w:pPr>
        <w:ind w:firstLine="420" w:firstLineChars="200"/>
        <w:rPr>
          <w:rFonts w:hint="eastAsia" w:asciiTheme="minorEastAsia" w:hAnsiTheme="minorEastAsia" w:eastAsiaTheme="minorEastAsia" w:cstheme="minorEastAsia"/>
          <w:color w:val="auto"/>
          <w:szCs w:val="21"/>
          <w:highlight w:val="none"/>
        </w:rPr>
      </w:pPr>
    </w:p>
    <w:p>
      <w:pPr>
        <w:ind w:firstLine="422" w:firstLineChars="200"/>
        <w:jc w:val="center"/>
        <w:rPr>
          <w:rFonts w:hint="eastAsia" w:asciiTheme="minorEastAsia" w:hAnsiTheme="minorEastAsia" w:eastAsiaTheme="minorEastAsia" w:cstheme="minorEastAsia"/>
          <w:b/>
          <w:color w:val="auto"/>
          <w:szCs w:val="21"/>
          <w:highlight w:val="none"/>
        </w:rPr>
      </w:pPr>
    </w:p>
    <w:p>
      <w:pPr>
        <w:spacing w:line="360" w:lineRule="auto"/>
        <w:ind w:firstLine="643" w:firstLineChars="200"/>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r>
        <w:rPr>
          <w:rFonts w:hint="eastAsia" w:ascii="黑体" w:hAnsi="黑体" w:eastAsia="黑体" w:cs="黑体"/>
          <w:b/>
          <w:color w:val="auto"/>
          <w:sz w:val="32"/>
          <w:szCs w:val="32"/>
          <w:highlight w:val="none"/>
        </w:rPr>
        <w:t>三、合同通用条款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1.定义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本合同下列术语应解释为：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“甲方”是指采购人。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　“乙方”是指成交供应商。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“合同”系指甲乙双方签署的、载明甲乙双方权利义务所达成的协议，包括所有的附件、附录和上述文件所提到的构成合同的所有文件。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“服务”是指乙方按照采购、响应文件要求，向采购人提供的技术支持服务。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“项目现场”是指甲方指定的最终服务地点。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“天”除非特别指出，“天”均为自然天。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乙方为甲方交付的服务应符合采购文件和乙方的响应文件所述的内容，如果没有提及适用标准，则应符合相应的国家标准。这些标准必须是有关机构发布的最新版本的标准。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除非技术要求中另有规定，计量单位均采用中华人民共和国法定计量单位。</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乙方应按照合同的规定，提供下列服务甲方提供符合要求的服务。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4.知识产权</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乙方应保证所提供的服务免受第三方提出侵犯其知识产权(专利权、商标权、版权等)的起诉。因侵害他人知识产权而产生的法律责任，全部由乙方承担。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　甲方委托乙方开发的产品，甲方享有知识产权，未经甲方许可不得转让任何第三人。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  禁止乙方另行开发本项目业务需求范围内、供纳税人缴费人使用的软件，对违反合约条款的，纳入税务系统信息化服务商失信行为记录名单。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5.保密条款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(1)应以审慎态度避免泄露、公开或传播甲方的信息；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(2)未经甲方书面许可，不得对有关信息进行修改、补充、复制；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(3)未经甲方书面许可，不得将信息以任何方式(如E－mail)携带出甲方场所；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(4)未经甲方书面许可，不得将信息透露给任何其他人；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(5)甲方以书面形式提出的其他保密措施。</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　甲乙双方如出现泄密行为，泄密方应承担相关的法律责任，包括但是不限于对由此给对方造成的经济损失进行赔偿。</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5.5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5.6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6.服务质量保证</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乙方应保证所提供的服务，符合合同规定的技术要求。如不符时，乙方应负全责并尽快处理解决，由此造成的损失和相关费用由乙方负责，甲方保留终止合同及索赔的权利。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乙方应保证通过执行合同中全部方案后，可以取得本合同规定的结果，达到本合同规定的预期目标。对任何情况下出现问题的，应尽快提出解决方案。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乙方应在签署合同前，</w:t>
      </w:r>
      <w:r>
        <w:rPr>
          <w:rFonts w:hint="eastAsia" w:asciiTheme="minorEastAsia" w:hAnsiTheme="minorEastAsia" w:eastAsiaTheme="minorEastAsia" w:cstheme="minorEastAsia"/>
          <w:color w:val="auto"/>
          <w:highlight w:val="none"/>
        </w:rPr>
        <w:t>以支票、汇票、本票或者金融机构、担保机构出具的保函等非现金形式向甲方提供</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履约保证金具体金额及返还要求见合同条款前附表。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如乙方未能履行合同规定的义务，甲方有权按照本合同的约定从履约保证金中进行相应扣除。乙方应在甲方扣除履约保证金后15天内，及时补充扣除部分金额。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8.服务时间、地点与验收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服务地点：合同条款前附表指定地点。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服务时间：合同条款前附表指定时间。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甲方应在乙方完成相关服务工作后及时对服务质量、技术指标、服务成果进行验收。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服务缺陷的补救措施和索赔</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(1)如果乙方提供的服务不符合本合同约定以及</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eastAsia="zh-CN"/>
        </w:rPr>
        <w:t>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关于服务的要求和承诺，乙方应按照甲方同意的下列一种或几种方式结合起来解决索赔事宜：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①乙方同意将服务款项退还给甲方，由此发生的一切费用和损失由乙方承担。如甲方以适当的条件和方法购买与未履约标的相类似的服务，乙方应负担新购买类似服务所超出的费用。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②根据服务的质量状况以及甲方所遭受的损失，经过甲乙双方商定降低服务的价格。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迟延履约的违约责任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　未履行合同义务的违约责任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(1)守约方有权终止全部或部分合同。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(2)不予退还全额履约保证金。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(3)由违约一方支付违约金，违约金标准见合同条款前附表(各单位可根据实际情况自行约定)。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(4)违约金不足以弥补守约方实际损失、可预见或者应当预见的损失，由违约方全额予以赔偿。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10.不可抗力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如果合同双方因不可抗力而导致合同实施延误或合同无法实施，不应该承担误期赔偿或不能履行合同义务的责任。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本条所述的“不可抗力”系指那些双方不可预见、不可避免、不可克服的客观情况，但不包括双方的违约或疏忽。这些事件包括但不限于：战争、严重火灾、洪水、台风、地震等。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11.合同纠纷的解决方式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合同各方应通过友好协商，解决在执行合同过程中所发生的或与合同有关的一切争端。如协商30日内(根据实际情况设定)不能解决，可以按合同规定的方式提起诉讼。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12.合同修改或变更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如无重大变故，甲方双方不得擅自变更合同。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如确需变更合同，甲乙双方应签署书面变更协议。变更协议为本合同不可分割的一部分。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13.合同中止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14.违约终止合同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若出现如下情况，在甲方对乙方违约行为而采取的任何补救措施不受影响的情况下，甲方可向乙方发出书面通知书，提出终止部分或全部合同。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14.1.1　如果乙方未能在合同规定的期限或甲方同意延长的期限内提供服务；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14.1.2　因乙方技术人员自身技术能力、经验不足等原因造成甲方硬件设备、应用系统发生重大紧急故障或应用系统数据丢失，带来重大影响和损失的；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14.1.3　乙方对甲方硬件设备、应用系统重大紧急故障没有及时响应，或不能在规定时间内解决处理故障，恢复系统正常运行的；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14.1.4　不能满足本项目技术需求的管理要求和规范，且经多次（3次及以上）整改无明显改进，仍然不能满足要求的；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14.1.5　在合同规定的每个服务年度(12个自然月)内，在运行维护支持服务过程中，出现2次经甲乙双方确认的违规操作的。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15.破产终止合同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如果乙方破产或无清偿能力，甲方可在任何时候以书面形式通知乙方终止合同而不给乙方补偿。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　该终止协议将不损害或影响甲方已经采取或将要采取的任何行动或补救措施的权利。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16.其他情况的终止合同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若合同继续履行将给甲方造成重大损失的，甲方可以终止合同而不给予乙方任何补偿。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乙方在执行合同的过程中发生重大事故，对履行合同有直接影响的，甲方可以终止合同而不给予乙方任何补偿。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　甲方因重大变故取消或部分取消原来的采购任务，导致合同全部或部分内容无须继续履行的，可以终止合同而不给予乙方任何补偿。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17.合同转让和分包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乙方不得以任何形式将合同转包，或部分或全部转让其应履行的合同义务。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除经甲方事先书面同意外，乙方不得以任何形式将合同分包。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18.适用法律</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本合同适用中华人民共和国现行法律、行政法规和规章，如合同条款与法律、行政法规和规章不一致的，按照法律、行政法规和规章修改本合同。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19.合同语言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　本合同语言为中文。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　双方交换的与合同有关的信件和其他文件应用合同语言书写。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20.合同生效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　本合同应在双方签字盖章和甲方收到乙方提供的履约保证金后生效。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21.合同效力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除本合同和甲乙双方书面签署的补充协议外，其他任何形式的双方约定和往来函件均不具有合同效力，对本项目无约束。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22.检查和审计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22.1在本合同的履行过程中，甲方有权对乙方的合同履约情况进行阶段性检查，并对乙方响应时提供的相关资料进行复核。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spacing w:line="360" w:lineRule="auto"/>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pPr>
        <w:numPr>
          <w:ilvl w:val="0"/>
          <w:numId w:val="3"/>
        </w:numPr>
        <w:spacing w:line="460" w:lineRule="exact"/>
        <w:jc w:val="center"/>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合同补充条款（双方据实商定）</w:t>
      </w:r>
    </w:p>
    <w:p>
      <w:pPr>
        <w:spacing w:line="460" w:lineRule="exact"/>
        <w:rPr>
          <w:rFonts w:hint="eastAsia" w:asciiTheme="minorEastAsia" w:hAnsiTheme="minorEastAsia" w:eastAsiaTheme="minorEastAsia" w:cstheme="minorEastAsia"/>
          <w:b/>
          <w:color w:val="auto"/>
          <w:kern w:val="0"/>
          <w:sz w:val="24"/>
          <w:szCs w:val="21"/>
          <w:highlight w:val="none"/>
        </w:rPr>
      </w:pPr>
    </w:p>
    <w:p>
      <w:pPr>
        <w:spacing w:line="460" w:lineRule="exact"/>
        <w:rPr>
          <w:rFonts w:hint="eastAsia" w:asciiTheme="minorEastAsia" w:hAnsiTheme="minorEastAsia" w:eastAsiaTheme="minorEastAsia" w:cstheme="minorEastAsia"/>
          <w:b/>
          <w:color w:val="auto"/>
          <w:kern w:val="0"/>
          <w:sz w:val="24"/>
          <w:szCs w:val="21"/>
          <w:highlight w:val="none"/>
        </w:rPr>
      </w:pPr>
    </w:p>
    <w:p>
      <w:pPr>
        <w:widowControl/>
        <w:spacing w:line="360" w:lineRule="auto"/>
        <w:jc w:val="center"/>
        <w:rPr>
          <w:rFonts w:hint="eastAsia" w:ascii="黑体" w:hAnsi="黑体" w:eastAsia="黑体" w:cs="黑体"/>
          <w:bCs/>
          <w:color w:val="auto"/>
          <w:sz w:val="30"/>
          <w:szCs w:val="30"/>
          <w:highlight w:val="none"/>
        </w:rPr>
      </w:pPr>
      <w:r>
        <w:rPr>
          <w:rFonts w:hint="eastAsia" w:ascii="黑体" w:hAnsi="黑体" w:eastAsia="黑体" w:cs="黑体"/>
          <w:b/>
          <w:color w:val="auto"/>
          <w:sz w:val="30"/>
          <w:szCs w:val="30"/>
          <w:highlight w:val="none"/>
        </w:rPr>
        <w:t>五、合同附件（与正件装订成册）</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（一）服务内容一览表（乙方填制）；</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（二）响应文件报价表部分（乙方提供）；</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（三）响应文件技术部分和商务部分（乙方提供）；</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（四）采购需求（与采购文件一致）；</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（五）合同验收书格式（验收时填制，供参考）；</w:t>
      </w:r>
    </w:p>
    <w:p>
      <w:pPr>
        <w:spacing w:line="360" w:lineRule="auto"/>
        <w:ind w:left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4"/>
          <w:szCs w:val="21"/>
          <w:highlight w:val="none"/>
        </w:rPr>
        <w:t>（六）</w:t>
      </w:r>
      <w:r>
        <w:rPr>
          <w:rFonts w:hint="eastAsia" w:asciiTheme="minorEastAsia" w:hAnsiTheme="minorEastAsia" w:eastAsiaTheme="minorEastAsia" w:cstheme="minorEastAsia"/>
          <w:bCs/>
          <w:color w:val="auto"/>
          <w:sz w:val="24"/>
          <w:szCs w:val="21"/>
          <w:highlight w:val="none"/>
          <w:lang w:eastAsia="zh-CN"/>
        </w:rPr>
        <w:t>采购</w:t>
      </w:r>
      <w:r>
        <w:rPr>
          <w:rFonts w:hint="eastAsia" w:asciiTheme="minorEastAsia" w:hAnsiTheme="minorEastAsia" w:eastAsiaTheme="minorEastAsia" w:cstheme="minorEastAsia"/>
          <w:bCs/>
          <w:color w:val="auto"/>
          <w:sz w:val="24"/>
          <w:szCs w:val="21"/>
          <w:highlight w:val="none"/>
        </w:rPr>
        <w:t>项目履约保证金或质量保证金退付意见书（供参考）。</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(一)服务内容一览表（乙方填制）</w:t>
      </w:r>
    </w:p>
    <w:p>
      <w:pPr>
        <w:spacing w:line="360" w:lineRule="auto"/>
        <w:ind w:firstLine="480" w:firstLineChars="200"/>
        <w:rPr>
          <w:rFonts w:hint="eastAsia" w:asciiTheme="minorEastAsia" w:hAnsiTheme="minorEastAsia" w:eastAsiaTheme="minorEastAsia" w:cstheme="minorEastAsia"/>
          <w:color w:val="auto"/>
          <w:sz w:val="24"/>
          <w:szCs w:val="21"/>
          <w:highlight w:val="none"/>
        </w:rPr>
      </w:pPr>
    </w:p>
    <w:tbl>
      <w:tblPr>
        <w:tblStyle w:val="4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83"/>
        <w:gridCol w:w="883"/>
        <w:gridCol w:w="110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8"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服务名称</w:t>
            </w:r>
          </w:p>
        </w:tc>
        <w:tc>
          <w:tcPr>
            <w:tcW w:w="9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单位</w:t>
            </w:r>
          </w:p>
        </w:tc>
        <w:tc>
          <w:tcPr>
            <w:tcW w:w="8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数量</w:t>
            </w:r>
          </w:p>
        </w:tc>
        <w:tc>
          <w:tcPr>
            <w:tcW w:w="1100" w:type="dxa"/>
            <w:vAlign w:val="center"/>
          </w:tcPr>
          <w:p>
            <w:pPr>
              <w:snapToGrid w:val="0"/>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金额</w:t>
            </w:r>
          </w:p>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（元）</w:t>
            </w:r>
          </w:p>
        </w:tc>
        <w:tc>
          <w:tcPr>
            <w:tcW w:w="4252"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8"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9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w:t>
            </w:r>
          </w:p>
        </w:tc>
        <w:tc>
          <w:tcPr>
            <w:tcW w:w="8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1100"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4252"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8"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9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8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1100"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4252"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r>
    </w:tbl>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(二)</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sz w:val="24"/>
          <w:szCs w:val="21"/>
          <w:highlight w:val="none"/>
        </w:rPr>
        <w:t>响应文件报价表部分（乙方提供）</w:t>
      </w: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由乙方按照响应文件提供，并保持与响应文件一致。</w:t>
      </w:r>
    </w:p>
    <w:p>
      <w:pPr>
        <w:spacing w:line="360" w:lineRule="auto"/>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(三)响应文件技术部分和商务部分（乙方提供）</w:t>
      </w: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由乙方按照响应文件提供，并保持与响应文件一致。</w:t>
      </w:r>
    </w:p>
    <w:p>
      <w:pPr>
        <w:spacing w:line="360" w:lineRule="auto"/>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(四)采购需求（与采购文件一致）</w:t>
      </w:r>
    </w:p>
    <w:p>
      <w:pPr>
        <w:rPr>
          <w:rFonts w:hint="eastAsia" w:asciiTheme="minorEastAsia" w:hAnsiTheme="minorEastAsia" w:eastAsiaTheme="minorEastAsia" w:cstheme="minorEastAsia"/>
          <w:b/>
          <w:color w:val="auto"/>
          <w:sz w:val="24"/>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bCs/>
          <w:color w:val="auto"/>
          <w:sz w:val="24"/>
          <w:szCs w:val="21"/>
          <w:highlight w:val="none"/>
        </w:rPr>
        <w:br w:type="page"/>
      </w:r>
      <w:r>
        <w:rPr>
          <w:rFonts w:hint="eastAsia" w:asciiTheme="minorEastAsia" w:hAnsiTheme="minorEastAsia" w:eastAsiaTheme="minorEastAsia" w:cstheme="minorEastAsia"/>
          <w:b/>
          <w:bCs/>
          <w:color w:val="auto"/>
          <w:sz w:val="24"/>
          <w:szCs w:val="21"/>
          <w:highlight w:val="none"/>
        </w:rPr>
        <w:t>(五)合同验收书格式</w:t>
      </w:r>
      <w:r>
        <w:rPr>
          <w:rFonts w:hint="eastAsia" w:asciiTheme="minorEastAsia" w:hAnsiTheme="minorEastAsia" w:eastAsiaTheme="minorEastAsia" w:cstheme="minorEastAsia"/>
          <w:b w:val="0"/>
          <w:bCs w:val="0"/>
          <w:color w:val="auto"/>
          <w:sz w:val="24"/>
          <w:szCs w:val="21"/>
          <w:highlight w:val="none"/>
        </w:rPr>
        <w:t>（验收时填制</w:t>
      </w:r>
      <w:r>
        <w:rPr>
          <w:rFonts w:hint="eastAsia" w:asciiTheme="minorEastAsia" w:hAnsiTheme="minorEastAsia" w:eastAsiaTheme="minorEastAsia" w:cstheme="minorEastAsia"/>
          <w:b w:val="0"/>
          <w:bCs w:val="0"/>
          <w:color w:val="auto"/>
          <w:sz w:val="24"/>
          <w:szCs w:val="21"/>
          <w:highlight w:val="none"/>
          <w:lang w:eastAsia="zh-CN"/>
        </w:rPr>
        <w:t>，</w:t>
      </w:r>
      <w:r>
        <w:rPr>
          <w:rFonts w:hint="eastAsia" w:asciiTheme="minorEastAsia" w:hAnsiTheme="minorEastAsia" w:eastAsiaTheme="minorEastAsia" w:cstheme="minorEastAsia"/>
          <w:b w:val="0"/>
          <w:bCs w:val="0"/>
          <w:color w:val="auto"/>
          <w:sz w:val="24"/>
          <w:szCs w:val="21"/>
          <w:highlight w:val="none"/>
          <w:lang w:val="en-US" w:eastAsia="zh-CN"/>
        </w:rPr>
        <w:t>供参考</w:t>
      </w:r>
      <w:r>
        <w:rPr>
          <w:rFonts w:hint="eastAsia" w:asciiTheme="minorEastAsia" w:hAnsiTheme="minorEastAsia" w:eastAsiaTheme="minorEastAsia" w:cstheme="minorEastAsia"/>
          <w:b w:val="0"/>
          <w:bCs w:val="0"/>
          <w:color w:val="auto"/>
          <w:sz w:val="24"/>
          <w:szCs w:val="21"/>
          <w:highlight w:val="none"/>
        </w:rPr>
        <w:t>）</w:t>
      </w:r>
    </w:p>
    <w:p>
      <w:pPr>
        <w:jc w:val="center"/>
        <w:rPr>
          <w:rFonts w:hint="eastAsia" w:asciiTheme="minorEastAsia" w:hAnsiTheme="minorEastAsia" w:eastAsiaTheme="minorEastAsia" w:cstheme="minorEastAsia"/>
          <w:color w:val="auto"/>
          <w:szCs w:val="21"/>
          <w:highlight w:val="none"/>
        </w:rPr>
      </w:pPr>
    </w:p>
    <w:p>
      <w:pPr>
        <w:pStyle w:val="190"/>
        <w:adjustRightInd w:val="0"/>
        <w:spacing w:line="560" w:lineRule="exact"/>
        <w:ind w:firstLineChars="0"/>
        <w:jc w:val="center"/>
        <w:rPr>
          <w:rFonts w:hint="eastAsia" w:ascii="方正小标宋简体" w:hAnsi="方正小标宋简体" w:eastAsia="方正小标宋简体" w:cs="方正小标宋简体"/>
          <w:b w:val="0"/>
          <w:bCs/>
          <w:color w:val="auto"/>
          <w:sz w:val="36"/>
          <w:szCs w:val="36"/>
          <w:highlight w:val="none"/>
          <w:lang w:eastAsia="zh-CN"/>
        </w:rPr>
      </w:pPr>
      <w:r>
        <w:rPr>
          <w:rFonts w:hint="eastAsia" w:ascii="方正小标宋简体" w:hAnsi="方正小标宋简体" w:eastAsia="方正小标宋简体" w:cs="方正小标宋简体"/>
          <w:b w:val="0"/>
          <w:bCs/>
          <w:color w:val="auto"/>
          <w:sz w:val="36"/>
          <w:szCs w:val="36"/>
          <w:highlight w:val="none"/>
        </w:rPr>
        <w:t>项目验收</w:t>
      </w:r>
      <w:r>
        <w:rPr>
          <w:rFonts w:hint="eastAsia" w:ascii="方正小标宋简体" w:hAnsi="方正小标宋简体" w:eastAsia="方正小标宋简体" w:cs="方正小标宋简体"/>
          <w:b w:val="0"/>
          <w:bCs/>
          <w:color w:val="auto"/>
          <w:sz w:val="36"/>
          <w:szCs w:val="36"/>
          <w:highlight w:val="none"/>
          <w:lang w:eastAsia="zh-CN"/>
        </w:rPr>
        <w:t>书（付款时提供）</w:t>
      </w:r>
    </w:p>
    <w:p>
      <w:pPr>
        <w:pStyle w:val="190"/>
        <w:adjustRightInd w:val="0"/>
        <w:spacing w:line="560" w:lineRule="exact"/>
        <w:ind w:firstLineChars="0"/>
        <w:jc w:val="center"/>
        <w:rPr>
          <w:rFonts w:hint="eastAsia" w:ascii="仿宋_GB2312" w:hAnsi="仿宋_GB2312" w:eastAsia="仿宋_GB2312" w:cs="仿宋_GB2312"/>
          <w:b/>
          <w:color w:val="auto"/>
          <w:sz w:val="28"/>
          <w:szCs w:val="28"/>
          <w:highlight w:val="none"/>
        </w:rPr>
      </w:pP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一、</w:t>
      </w:r>
      <w:r>
        <w:rPr>
          <w:rFonts w:hint="eastAsia" w:ascii="黑体" w:hAnsi="黑体" w:eastAsia="黑体" w:cs="黑体"/>
          <w:color w:val="auto"/>
          <w:sz w:val="32"/>
          <w:szCs w:val="32"/>
          <w:highlight w:val="none"/>
        </w:rPr>
        <w:t>项目基本情况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（一）</w:t>
      </w:r>
      <w:r>
        <w:rPr>
          <w:rFonts w:hint="eastAsia" w:ascii="仿宋_GB2312" w:hAnsi="仿宋_GB2312" w:eastAsia="仿宋_GB2312" w:cs="仿宋_GB2312"/>
          <w:color w:val="auto"/>
          <w:sz w:val="32"/>
          <w:szCs w:val="32"/>
          <w:highlight w:val="none"/>
        </w:rPr>
        <w:t>项目名称及编号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合同名称及编号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乙方名称、乙方联系人及联系方式</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（四）</w:t>
      </w:r>
      <w:r>
        <w:rPr>
          <w:rFonts w:hint="eastAsia" w:ascii="仿宋_GB2312" w:hAnsi="仿宋_GB2312" w:eastAsia="仿宋_GB2312" w:cs="仿宋_GB2312"/>
          <w:color w:val="auto"/>
          <w:sz w:val="32"/>
          <w:szCs w:val="32"/>
          <w:highlight w:val="none"/>
        </w:rPr>
        <w:t>合同金额</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（五）</w:t>
      </w:r>
      <w:r>
        <w:rPr>
          <w:rFonts w:hint="eastAsia" w:ascii="仿宋_GB2312" w:hAnsi="仿宋_GB2312" w:eastAsia="仿宋_GB2312" w:cs="仿宋_GB2312"/>
          <w:color w:val="auto"/>
          <w:sz w:val="32"/>
          <w:szCs w:val="32"/>
          <w:highlight w:val="none"/>
        </w:rPr>
        <w:t>历次验收及已付款情况等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二、</w:t>
      </w:r>
      <w:r>
        <w:rPr>
          <w:rFonts w:hint="eastAsia" w:ascii="黑体" w:hAnsi="黑体" w:eastAsia="黑体" w:cs="黑体"/>
          <w:color w:val="auto"/>
          <w:sz w:val="32"/>
          <w:szCs w:val="32"/>
          <w:highlight w:val="none"/>
        </w:rPr>
        <w:t>项目基本内容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合同约定的主要内容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本次付款对应的合同内容和所属阶段</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三、</w:t>
      </w:r>
      <w:r>
        <w:rPr>
          <w:rFonts w:hint="eastAsia" w:ascii="黑体" w:hAnsi="黑体" w:eastAsia="黑体" w:cs="黑体"/>
          <w:color w:val="auto"/>
          <w:sz w:val="32"/>
          <w:szCs w:val="32"/>
          <w:highlight w:val="none"/>
        </w:rPr>
        <w:t>组织验收情况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验收情况，包括验收内容、验收期限等</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验收评价及结论，包括项目执行情况、是否通过验收等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四、</w:t>
      </w:r>
      <w:r>
        <w:rPr>
          <w:rFonts w:hint="eastAsia" w:ascii="黑体" w:hAnsi="黑体" w:eastAsia="黑体" w:cs="黑体"/>
          <w:color w:val="auto"/>
          <w:sz w:val="32"/>
          <w:szCs w:val="32"/>
          <w:highlight w:val="none"/>
        </w:rPr>
        <w:t>其他需要说明的情况</w:t>
      </w:r>
    </w:p>
    <w:p>
      <w:pPr>
        <w:numPr>
          <w:ilvl w:val="0"/>
          <w:numId w:val="0"/>
        </w:numPr>
        <w:spacing w:line="560" w:lineRule="exact"/>
        <w:ind w:left="0"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　　五、应支付合同款情况</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依据验收结论，</w:t>
      </w:r>
      <w:r>
        <w:rPr>
          <w:rFonts w:hint="eastAsia" w:ascii="仿宋_GB2312" w:hAnsi="仿宋_GB2312" w:eastAsia="仿宋_GB2312" w:cs="仿宋_GB2312"/>
          <w:color w:val="auto"/>
          <w:sz w:val="32"/>
          <w:szCs w:val="32"/>
          <w:highlight w:val="none"/>
          <w:lang w:eastAsia="zh-CN"/>
        </w:rPr>
        <w:t>本次验收后应支付</w:t>
      </w:r>
      <w:r>
        <w:rPr>
          <w:rFonts w:hint="eastAsia" w:ascii="仿宋_GB2312" w:hAnsi="仿宋_GB2312" w:eastAsia="仿宋_GB2312" w:cs="仿宋_GB2312"/>
          <w:color w:val="auto"/>
          <w:sz w:val="32"/>
          <w:szCs w:val="32"/>
          <w:highlight w:val="none"/>
        </w:rPr>
        <w:t>合同第几次付款及付款金额等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项目负责人签字：</w:t>
      </w:r>
    </w:p>
    <w:p>
      <w:pPr>
        <w:numPr>
          <w:ilvl w:val="0"/>
          <w:numId w:val="0"/>
        </w:numPr>
        <w:spacing w:line="560" w:lineRule="exact"/>
        <w:ind w:left="0" w:firstLine="0" w:firstLineChars="0"/>
        <w:rPr>
          <w:rStyle w:val="44"/>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eastAsia="zh-CN" w:bidi="ar"/>
        </w:rPr>
        <w:t>　　验收牵头部门</w:t>
      </w:r>
      <w:r>
        <w:rPr>
          <w:rFonts w:hint="eastAsia" w:ascii="仿宋_GB2312" w:hAnsi="仿宋_GB2312" w:eastAsia="仿宋_GB2312" w:cs="仿宋_GB2312"/>
          <w:color w:val="auto"/>
          <w:sz w:val="32"/>
          <w:szCs w:val="32"/>
          <w:highlight w:val="none"/>
        </w:rPr>
        <w:t>领导签字：</w:t>
      </w:r>
      <w:r>
        <w:rPr>
          <w:rStyle w:val="44"/>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4"/>
          <w:rFonts w:hint="eastAsia" w:ascii="仿宋_GB2312" w:hAnsi="仿宋_GB2312" w:eastAsia="仿宋_GB2312" w:cs="仿宋_GB2312"/>
          <w:b w:val="0"/>
          <w:color w:val="auto"/>
          <w:sz w:val="32"/>
          <w:szCs w:val="32"/>
          <w:highlight w:val="none"/>
        </w:rPr>
      </w:pPr>
      <w:r>
        <w:rPr>
          <w:rStyle w:val="44"/>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4"/>
          <w:rFonts w:hint="eastAsia" w:ascii="仿宋_GB2312" w:hAnsi="仿宋_GB2312" w:eastAsia="仿宋_GB2312" w:cs="仿宋_GB2312"/>
          <w:b w:val="0"/>
          <w:color w:val="auto"/>
          <w:sz w:val="32"/>
          <w:szCs w:val="32"/>
          <w:highlight w:val="none"/>
        </w:rPr>
        <w:sectPr>
          <w:footerReference r:id="rId4" w:type="default"/>
          <w:pgSz w:w="11906" w:h="16838"/>
          <w:pgMar w:top="1270" w:right="1474" w:bottom="1157" w:left="1587" w:header="851" w:footer="992" w:gutter="0"/>
          <w:pgNumType w:fmt="decimal" w:start="1"/>
          <w:cols w:space="720" w:num="1"/>
          <w:rtlGutter w:val="0"/>
          <w:docGrid w:type="lines" w:linePitch="312" w:charSpace="0"/>
        </w:sectPr>
      </w:pPr>
      <w:r>
        <w:rPr>
          <w:rStyle w:val="44"/>
          <w:rFonts w:hint="eastAsia" w:ascii="仿宋_GB2312" w:hAnsi="仿宋_GB2312" w:eastAsia="仿宋_GB2312" w:cs="仿宋_GB2312"/>
          <w:b w:val="0"/>
          <w:color w:val="auto"/>
          <w:sz w:val="32"/>
          <w:szCs w:val="32"/>
          <w:highlight w:val="none"/>
        </w:rPr>
        <w:t>年   月   日</w:t>
      </w:r>
    </w:p>
    <w:p>
      <w:pP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bCs w:val="0"/>
          <w:color w:val="auto"/>
          <w:sz w:val="30"/>
          <w:szCs w:val="30"/>
          <w:highlight w:val="none"/>
        </w:rPr>
        <w:t>(六)</w:t>
      </w:r>
      <w:r>
        <w:rPr>
          <w:rFonts w:hint="eastAsia" w:asciiTheme="minorEastAsia" w:hAnsiTheme="minorEastAsia" w:eastAsiaTheme="minorEastAsia" w:cstheme="minorEastAsia"/>
          <w:b/>
          <w:bCs w:val="0"/>
          <w:color w:val="auto"/>
          <w:sz w:val="32"/>
          <w:szCs w:val="32"/>
          <w:highlight w:val="none"/>
          <w:lang w:eastAsia="zh-CN"/>
        </w:rPr>
        <w:t>采购</w:t>
      </w:r>
      <w:r>
        <w:rPr>
          <w:rFonts w:hint="eastAsia" w:asciiTheme="minorEastAsia" w:hAnsiTheme="minorEastAsia" w:eastAsiaTheme="minorEastAsia" w:cstheme="minorEastAsia"/>
          <w:b/>
          <w:bCs w:val="0"/>
          <w:color w:val="auto"/>
          <w:sz w:val="32"/>
          <w:szCs w:val="32"/>
          <w:highlight w:val="none"/>
        </w:rPr>
        <w:t>项目履约保证金或质量保证金退付意见书</w:t>
      </w:r>
      <w:r>
        <w:rPr>
          <w:rFonts w:hint="eastAsia" w:asciiTheme="minorEastAsia" w:hAnsiTheme="minorEastAsia" w:eastAsiaTheme="minorEastAsia" w:cstheme="minorEastAsia"/>
          <w:b w:val="0"/>
          <w:bCs/>
          <w:color w:val="auto"/>
          <w:sz w:val="32"/>
          <w:szCs w:val="32"/>
          <w:highlight w:val="none"/>
        </w:rPr>
        <w:t>（供参考）</w:t>
      </w:r>
    </w:p>
    <w:p>
      <w:pPr>
        <w:rPr>
          <w:rFonts w:hint="eastAsia" w:asciiTheme="minorEastAsia" w:hAnsiTheme="minorEastAsia" w:eastAsiaTheme="minorEastAsia" w:cstheme="minorEastAsia"/>
          <w:color w:val="auto"/>
          <w:sz w:val="32"/>
          <w:szCs w:val="32"/>
          <w:highlight w:val="none"/>
        </w:rPr>
      </w:pPr>
    </w:p>
    <w:tbl>
      <w:tblPr>
        <w:tblStyle w:val="42"/>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w:t>
            </w: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hint="eastAsia" w:asciiTheme="minorEastAsia" w:hAnsiTheme="minorEastAsia" w:eastAsiaTheme="minorEastAsia" w:cstheme="minorEastAsia"/>
                <w:color w:val="auto"/>
                <w:sz w:val="24"/>
                <w:highlight w:val="none"/>
              </w:rPr>
            </w:pP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rPr>
                <w:rFonts w:hint="eastAsia" w:asciiTheme="minorEastAsia" w:hAnsiTheme="minorEastAsia" w:eastAsiaTheme="minorEastAsia" w:cstheme="minorEastAsia"/>
                <w:color w:val="auto"/>
                <w:sz w:val="24"/>
                <w:highlight w:val="none"/>
              </w:rPr>
            </w:pPr>
          </w:p>
        </w:tc>
        <w:tc>
          <w:tcPr>
            <w:tcW w:w="8206" w:type="dxa"/>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该项目已于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日验收并交付使用。根据合同规定，该项目的履约保证金（或质量保证金），期限于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日已满，请将履约保证金（或质量保证金）人民币（大写）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退付到达以下帐户。</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p>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w:t>
            </w:r>
          </w:p>
          <w:p>
            <w:pPr>
              <w:spacing w:line="400" w:lineRule="exact"/>
              <w:rPr>
                <w:rFonts w:hint="eastAsia" w:asciiTheme="minorEastAsia" w:hAnsiTheme="minorEastAsia" w:eastAsiaTheme="minorEastAsia" w:cstheme="minorEastAsia"/>
                <w:color w:val="auto"/>
                <w:sz w:val="24"/>
                <w:highlight w:val="none"/>
              </w:rPr>
            </w:pP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1008"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购</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w:t>
            </w:r>
          </w:p>
        </w:tc>
        <w:tc>
          <w:tcPr>
            <w:tcW w:w="8206" w:type="dxa"/>
          </w:tcPr>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退付意见：（是否同意退付履约保证金或质量保证金及退付金额）</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                         采购人签章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520" w:lineRule="exact"/>
              <w:jc w:val="center"/>
              <w:rPr>
                <w:rFonts w:hint="eastAsia" w:asciiTheme="minorEastAsia" w:hAnsiTheme="minorEastAsia" w:eastAsiaTheme="minorEastAsia" w:cstheme="minorEastAsia"/>
                <w:color w:val="auto"/>
                <w:sz w:val="24"/>
                <w:highlight w:val="none"/>
              </w:rPr>
            </w:pPr>
          </w:p>
        </w:tc>
      </w:tr>
    </w:tbl>
    <w:p>
      <w:pPr>
        <w:rPr>
          <w:rFonts w:hint="eastAsia" w:asciiTheme="minorEastAsia" w:hAnsiTheme="minorEastAsia" w:eastAsiaTheme="minorEastAsia" w:cstheme="minorEastAsia"/>
          <w:color w:val="auto"/>
          <w:szCs w:val="21"/>
          <w:highlight w:val="none"/>
        </w:rPr>
      </w:pP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20"/>
          <w:szCs w:val="22"/>
          <w:highlight w:val="none"/>
        </w:rPr>
        <w:br w:type="page"/>
      </w:r>
      <w:bookmarkStart w:id="43" w:name="_Toc3075"/>
      <w:r>
        <w:rPr>
          <w:rFonts w:hint="eastAsia" w:asciiTheme="minorEastAsia" w:hAnsiTheme="minorEastAsia" w:eastAsiaTheme="minorEastAsia" w:cstheme="minorEastAsia"/>
          <w:b/>
          <w:color w:val="auto"/>
          <w:sz w:val="32"/>
          <w:szCs w:val="32"/>
          <w:highlight w:val="none"/>
        </w:rPr>
        <w:t>第五章 响应文件组成</w:t>
      </w:r>
      <w:bookmarkEnd w:id="43"/>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w:t>
      </w:r>
      <w:r>
        <w:rPr>
          <w:rFonts w:hint="eastAsia" w:asciiTheme="minorEastAsia" w:hAnsiTheme="minorEastAsia" w:eastAsiaTheme="minorEastAsia" w:cstheme="minorEastAsia"/>
          <w:b/>
          <w:color w:val="auto"/>
          <w:sz w:val="32"/>
          <w:szCs w:val="28"/>
          <w:highlight w:val="none"/>
        </w:rPr>
        <w:t>外层包装封套</w:t>
      </w:r>
      <w:r>
        <w:rPr>
          <w:rFonts w:hint="eastAsia" w:asciiTheme="minorEastAsia" w:hAnsiTheme="minorEastAsia" w:eastAsiaTheme="minorEastAsia" w:cstheme="minorEastAsia"/>
          <w:b/>
          <w:color w:val="auto"/>
          <w:sz w:val="24"/>
          <w:szCs w:val="28"/>
          <w:highlight w:val="none"/>
        </w:rPr>
        <w:t>格式：</w:t>
      </w: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___________________(项目名称)响应文件</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项目编号：____________________</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在______年____月____日____时____分之前不得启封</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供应商名称：____________________</w:t>
      </w:r>
    </w:p>
    <w:p>
      <w:pPr>
        <w:spacing w:line="720" w:lineRule="auto"/>
        <w:ind w:left="441" w:leftChars="172" w:hanging="80" w:hangingChars="25"/>
        <w:jc w:val="center"/>
        <w:rPr>
          <w:rFonts w:hint="eastAsia" w:asciiTheme="minorEastAsia" w:hAnsiTheme="minorEastAsia" w:eastAsiaTheme="minorEastAsia" w:cstheme="minorEastAsia"/>
          <w:b/>
          <w:color w:val="auto"/>
          <w:sz w:val="44"/>
          <w:szCs w:val="21"/>
          <w:highlight w:val="none"/>
        </w:rPr>
      </w:pPr>
      <w:r>
        <w:rPr>
          <w:rFonts w:hint="eastAsia" w:asciiTheme="minorEastAsia" w:hAnsiTheme="minorEastAsia" w:eastAsiaTheme="minorEastAsia" w:cstheme="minorEastAsia"/>
          <w:color w:val="auto"/>
          <w:sz w:val="32"/>
          <w:highlight w:val="none"/>
        </w:rPr>
        <w:t>其他____________________</w:t>
      </w:r>
    </w:p>
    <w:p>
      <w:pPr>
        <w:spacing w:line="720" w:lineRule="auto"/>
        <w:ind w:left="461" w:leftChars="172" w:hanging="100" w:hangingChars="25"/>
        <w:jc w:val="center"/>
        <w:rPr>
          <w:rFonts w:hint="eastAsia"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（加盖公章）</w:t>
      </w:r>
    </w:p>
    <w:p>
      <w:pPr>
        <w:pStyle w:val="20"/>
        <w:spacing w:line="480" w:lineRule="auto"/>
        <w:jc w:val="center"/>
        <w:rPr>
          <w:rFonts w:hint="eastAsia" w:asciiTheme="minorEastAsia" w:hAnsiTheme="minorEastAsia" w:eastAsiaTheme="minorEastAsia" w:cstheme="minorEastAsia"/>
          <w:color w:val="auto"/>
          <w:sz w:val="24"/>
          <w:szCs w:val="21"/>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br w:type="page"/>
      </w: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响应文件的封面格式：</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 xml:space="preserve">                                     正本/副本</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51" w:leftChars="172" w:hanging="90" w:hangingChars="25"/>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响应文件</w:t>
      </w: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项目编号：</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供应商地址：</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p>
    <w:p>
      <w:pPr>
        <w:spacing w:line="480" w:lineRule="auto"/>
        <w:ind w:left="421" w:leftChars="172" w:hanging="60" w:hangingChars="25"/>
        <w:jc w:val="center"/>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（加盖公章）</w:t>
      </w:r>
    </w:p>
    <w:p>
      <w:pPr>
        <w:pStyle w:val="20"/>
        <w:spacing w:line="480" w:lineRule="auto"/>
        <w:ind w:firstLine="4320" w:firstLineChars="18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年   月    日</w:t>
      </w:r>
    </w:p>
    <w:p>
      <w:pPr>
        <w:pStyle w:val="20"/>
        <w:spacing w:line="480" w:lineRule="auto"/>
        <w:jc w:val="center"/>
        <w:rPr>
          <w:rFonts w:hint="eastAsia" w:asciiTheme="minorEastAsia" w:hAnsiTheme="minorEastAsia" w:eastAsiaTheme="minorEastAsia" w:cstheme="minorEastAsia"/>
          <w:color w:val="auto"/>
          <w:sz w:val="24"/>
          <w:szCs w:val="21"/>
          <w:highlight w:val="none"/>
        </w:rPr>
      </w:pPr>
    </w:p>
    <w:p>
      <w:pPr>
        <w:pStyle w:val="20"/>
        <w:spacing w:line="380" w:lineRule="exact"/>
        <w:jc w:val="center"/>
        <w:rPr>
          <w:rFonts w:hint="eastAsia" w:asciiTheme="minorEastAsia" w:hAnsiTheme="minorEastAsia" w:eastAsiaTheme="minorEastAsia" w:cstheme="minorEastAsia"/>
          <w:color w:val="auto"/>
          <w:szCs w:val="21"/>
          <w:highlight w:val="none"/>
        </w:rPr>
      </w:pPr>
    </w:p>
    <w:p>
      <w:pPr>
        <w:pStyle w:val="20"/>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第一部分　商务部分</w:t>
      </w:r>
    </w:p>
    <w:p>
      <w:pPr>
        <w:pStyle w:val="20"/>
        <w:spacing w:line="360" w:lineRule="auto"/>
        <w:ind w:firstLine="482" w:firstLineChars="200"/>
        <w:jc w:val="center"/>
        <w:rPr>
          <w:rFonts w:hint="eastAsia" w:asciiTheme="minorEastAsia" w:hAnsiTheme="minorEastAsia" w:eastAsiaTheme="minorEastAsia" w:cstheme="minorEastAsia"/>
          <w:b/>
          <w:color w:val="auto"/>
          <w:sz w:val="24"/>
          <w:szCs w:val="28"/>
          <w:highlight w:val="none"/>
        </w:rPr>
      </w:pPr>
    </w:p>
    <w:p>
      <w:pPr>
        <w:numPr>
          <w:ilvl w:val="0"/>
          <w:numId w:val="4"/>
        </w:num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磋商响应声明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二、报价一览表、分项价格表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附件2－1　报价一览表(服务类)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附件2－2　分项价格表(服务类)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附件2－3　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三、商务条款偏离表(格式附后)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五、供应商的资格证明材料</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★①供应商基本情况表（格式见第五章）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★②有效的新版“营业执照”或《事业单位法人证书》或其他依法成立组织的证明文件（必须具有，如能够在线查询的材料，请提供国家有关部门规定查询的网址链接）。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★③有效的税务登记证（必须具有，如能够在线查询的材料，请提供国家有关部门规定查询的网址链接）（若已经取得“三证合一”的可不提供）。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★④法定代表人（负责人）完整有效的身份证复印件（第二代身份证必须提供正反面复印件）。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★⑤法定代表人（负责人）授权委托书(格式见第五章)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⑥响应文件递交截止时间前半年内，供应商提供至少三个月财务报表（财务报表应至少包含资产负债表和损益表或利润表的复印件），或提供供应商2021年度经第三方审计的财务报告复印件（新成立的公司按照实际情况提供财务报表）。</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⑦响应文件递交截止时间前半年内，供应商提供至少三个月的依法纳税的依法缴纳税费或依法免缴税费的证明（复印件）；供应商无纳税记录或为新成立公司，应提供由供应商所在地主管税务部门出具的依法纳税或依法免税证明（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⑧响应文件递交截止时间前半年内，供应商提供至少三个月的依法缴纳社保费的缴费凭证（复印件）；供应商无缴费记录或为新成立公司，应提供由供应商所在地社保部门出具的依法缴纳或依法免缴社保费证明（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★⑨参加本采购活动前三年内在经营活动中没有重大违法记录的书面声明（格式见第五章）。</w:t>
      </w:r>
    </w:p>
    <w:p>
      <w:pPr>
        <w:numPr>
          <w:ilvl w:val="0"/>
          <w:numId w:val="0"/>
        </w:numPr>
        <w:spacing w:line="360" w:lineRule="auto"/>
        <w:ind w:leftChars="200" w:firstLine="240" w:firstLineChars="1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fldChar w:fldCharType="begin"/>
      </w:r>
      <w:r>
        <w:rPr>
          <w:rFonts w:hint="eastAsia" w:asciiTheme="minorEastAsia" w:hAnsiTheme="minorEastAsia" w:eastAsiaTheme="minorEastAsia" w:cstheme="minorEastAsia"/>
          <w:color w:val="auto"/>
          <w:kern w:val="0"/>
          <w:sz w:val="24"/>
          <w:szCs w:val="28"/>
          <w:highlight w:val="none"/>
          <w:lang w:val="en-US" w:eastAsia="zh-CN"/>
        </w:rPr>
        <w:instrText xml:space="preserve"> = 10 \* GB3 \* MERGEFORMAT </w:instrText>
      </w:r>
      <w:r>
        <w:rPr>
          <w:rFonts w:hint="eastAsia" w:asciiTheme="minorEastAsia" w:hAnsiTheme="minorEastAsia" w:eastAsiaTheme="minorEastAsia" w:cstheme="minorEastAsia"/>
          <w:color w:val="auto"/>
          <w:kern w:val="0"/>
          <w:sz w:val="24"/>
          <w:szCs w:val="28"/>
          <w:highlight w:val="none"/>
          <w:lang w:val="en-US" w:eastAsia="zh-CN"/>
        </w:rPr>
        <w:fldChar w:fldCharType="separate"/>
      </w:r>
      <w:r>
        <w:rPr>
          <w:color w:val="auto"/>
          <w:highlight w:val="none"/>
        </w:rPr>
        <w:t>⑩</w:t>
      </w:r>
      <w:r>
        <w:rPr>
          <w:rFonts w:hint="eastAsia" w:asciiTheme="minorEastAsia" w:hAnsiTheme="minorEastAsia" w:eastAsiaTheme="minorEastAsia" w:cstheme="minorEastAsia"/>
          <w:color w:val="auto"/>
          <w:kern w:val="0"/>
          <w:sz w:val="24"/>
          <w:szCs w:val="28"/>
          <w:highlight w:val="none"/>
          <w:lang w:val="en-US" w:eastAsia="zh-CN"/>
        </w:rPr>
        <w:fldChar w:fldCharType="end"/>
      </w:r>
      <w:r>
        <w:rPr>
          <w:rFonts w:hint="eastAsia" w:asciiTheme="minorEastAsia" w:hAnsiTheme="minorEastAsia" w:eastAsiaTheme="minorEastAsia" w:cstheme="minorEastAsia"/>
          <w:color w:val="auto"/>
          <w:kern w:val="0"/>
          <w:sz w:val="24"/>
          <w:szCs w:val="28"/>
          <w:highlight w:val="none"/>
          <w:lang w:val="en-US" w:eastAsia="zh-CN"/>
        </w:rPr>
        <w:t>符合磋商文件要求的供应商特定资格条件的证明材料：无。</w:t>
      </w: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⑪符合相关扶持政策的证明材料：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val="en-US" w:eastAsia="zh-CN"/>
        </w:rPr>
        <w:t>10.</w:t>
      </w:r>
      <w:r>
        <w:rPr>
          <w:rFonts w:hint="eastAsia" w:asciiTheme="minorEastAsia" w:hAnsiTheme="minorEastAsia" w:eastAsiaTheme="minorEastAsia" w:cstheme="minorEastAsia"/>
          <w:color w:val="auto"/>
          <w:kern w:val="0"/>
          <w:sz w:val="24"/>
          <w:szCs w:val="28"/>
          <w:highlight w:val="none"/>
        </w:rPr>
        <w:t>联合体协议(格式附后)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六、磋商须知前附表要求供应商提供的其他资料（格式附后）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七、供应商认为需提供的其他资料</w:t>
      </w:r>
    </w:p>
    <w:p>
      <w:pPr>
        <w:ind w:firstLine="480" w:firstLineChars="200"/>
        <w:jc w:val="center"/>
        <w:rPr>
          <w:rFonts w:hint="eastAsia" w:asciiTheme="minorEastAsia" w:hAnsiTheme="minorEastAsia" w:eastAsiaTheme="minorEastAsia" w:cstheme="minorEastAsia"/>
          <w:color w:val="auto"/>
          <w:kern w:val="0"/>
          <w:sz w:val="24"/>
          <w:szCs w:val="28"/>
          <w:highlight w:val="none"/>
        </w:rPr>
      </w:pPr>
    </w:p>
    <w:p>
      <w:pPr>
        <w:ind w:firstLine="480" w:firstLineChars="200"/>
        <w:jc w:val="center"/>
        <w:rPr>
          <w:rFonts w:hint="eastAsia" w:asciiTheme="minorEastAsia" w:hAnsiTheme="minorEastAsia" w:eastAsiaTheme="minorEastAsia" w:cstheme="minorEastAsia"/>
          <w:color w:val="auto"/>
          <w:kern w:val="0"/>
          <w:sz w:val="24"/>
          <w:szCs w:val="28"/>
          <w:highlight w:val="none"/>
        </w:rPr>
      </w:pPr>
    </w:p>
    <w:p>
      <w:pPr>
        <w:ind w:firstLine="480" w:firstLineChars="200"/>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28"/>
          <w:szCs w:val="28"/>
          <w:highlight w:val="none"/>
        </w:rPr>
        <w:t>第二部分　技术部分</w:t>
      </w:r>
    </w:p>
    <w:p>
      <w:pPr>
        <w:ind w:firstLine="482" w:firstLineChars="200"/>
        <w:jc w:val="center"/>
        <w:rPr>
          <w:rFonts w:hint="eastAsia" w:asciiTheme="minorEastAsia" w:hAnsiTheme="minorEastAsia" w:eastAsiaTheme="minorEastAsia" w:cstheme="minorEastAsia"/>
          <w:b/>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一、施工组织方案、设计方案</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三、供应商服务承诺（应包含售后服务承诺）</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五、磋商标的物符合磋商文件要求的相关证明文件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ind w:firstLine="480"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第一部分　商务部分</w:t>
      </w:r>
    </w:p>
    <w:p>
      <w:pPr>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一、磋商响应声明</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磋商响应声明</w:t>
      </w:r>
    </w:p>
    <w:p>
      <w:pPr>
        <w:spacing w:line="360" w:lineRule="auto"/>
        <w:rPr>
          <w:rFonts w:hint="eastAsia" w:asciiTheme="minorEastAsia" w:hAnsiTheme="minorEastAsia" w:eastAsiaTheme="minorEastAsia" w:cstheme="minorEastAsia"/>
          <w:color w:val="auto"/>
          <w:kern w:val="0"/>
          <w:sz w:val="24"/>
          <w:szCs w:val="28"/>
          <w:highlight w:val="none"/>
        </w:rPr>
      </w:pP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一、我方同意在磋商响应有效期内遵守本响应文件中的承诺，且在此期限期满之前均具有法律约束力。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二、我方提交纸质响应文件正本______份和副本______份，并保证响应文件提供的数据和材料是真实、准确的。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三、我方愿意向贵方提供任何与本项采购有关的数据、情况和技术资料。若贵方需要，我方愿意提供我方作出的一切承诺的证明材料。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四、我方愿意按磋商文件规定和磋商小组要求重新提交响应文件和最后报价。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五、我方保证在获得成交资格后，按照磋商文件确定的事项签订采购合同，履行双方所签订的合同，并承担合同规定的责任和义务。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49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18" w:hRule="atLeast"/>
          <w:jc w:val="center"/>
        </w:trPr>
        <w:tc>
          <w:tcPr>
            <w:tcW w:w="498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p>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第二代身份证必须提供正反面复印件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lang w:eastAsia="zh-CN"/>
        </w:rPr>
        <w:t>法定代表人（负责人）</w:t>
      </w:r>
      <w:r>
        <w:rPr>
          <w:rFonts w:hint="eastAsia" w:asciiTheme="minorEastAsia" w:hAnsiTheme="minorEastAsia" w:eastAsiaTheme="minorEastAsia" w:cstheme="minorEastAsia"/>
          <w:b/>
          <w:bCs/>
          <w:color w:val="auto"/>
          <w:kern w:val="0"/>
          <w:sz w:val="24"/>
          <w:szCs w:val="28"/>
          <w:highlight w:val="none"/>
        </w:rPr>
        <w:t>授权委托书</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____________(供应商名称)的</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(姓名、职务)授权____________(磋商代表姓名、职务)为本公司的磋商代表，就____________(项目名称)磋商及相关事务代表本公司处理与之有关的一切事务。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委托期限：____________________。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代理人无转委托权。</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本授权书于______年____月____日签字生效，特此声明。</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52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被授权代表身份证正反面复印件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授权代表(签字或签章)：____________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二、报价一览表及分项价格表</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附件2－1</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报价一览表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p>
    <w:tbl>
      <w:tblPr>
        <w:tblStyle w:val="42"/>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310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2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包号</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6069" w:type="dxa"/>
            <w:gridSpan w:val="3"/>
            <w:vAlign w:val="center"/>
          </w:tcPr>
          <w:p>
            <w:pPr>
              <w:spacing w:line="360" w:lineRule="auto"/>
              <w:jc w:val="center"/>
              <w:rPr>
                <w:rFonts w:hint="eastAsia"/>
                <w:color w:val="auto"/>
                <w:highlight w:val="none"/>
                <w:lang w:val="en-US" w:eastAsia="zh-CN"/>
              </w:rPr>
            </w:pPr>
            <w:r>
              <w:rPr>
                <w:rFonts w:hint="eastAsia"/>
                <w:color w:val="auto"/>
                <w:highlight w:val="none"/>
              </w:rPr>
              <w:t>大写：人民币______元</w:t>
            </w:r>
          </w:p>
          <w:p>
            <w:pPr>
              <w:spacing w:line="360" w:lineRule="auto"/>
              <w:jc w:val="center"/>
              <w:rPr>
                <w:rFonts w:hint="eastAsia"/>
                <w:color w:val="auto"/>
                <w:highlight w:val="none"/>
              </w:rPr>
            </w:pPr>
            <w:r>
              <w:rPr>
                <w:rFonts w:hint="eastAsia"/>
                <w:color w:val="auto"/>
                <w:highlight w:val="none"/>
              </w:rPr>
              <w:t>小写：</w:t>
            </w:r>
            <w:r>
              <w:rPr>
                <w:rFonts w:hint="eastAsia"/>
                <w:color w:val="auto"/>
                <w:highlight w:val="none"/>
                <w:lang w:eastAsia="zh-CN"/>
              </w:rPr>
              <w:t>¥</w:t>
            </w:r>
            <w:r>
              <w:rPr>
                <w:rFonts w:hint="eastAsia"/>
                <w:color w:val="auto"/>
                <w:highlight w:val="none"/>
              </w:rPr>
              <w:t>______元（小写请保留至小数点后两位）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服务期</w:t>
            </w:r>
          </w:p>
        </w:tc>
        <w:tc>
          <w:tcPr>
            <w:tcW w:w="6069" w:type="dxa"/>
            <w:gridSpan w:val="3"/>
            <w:vAlign w:val="center"/>
          </w:tcPr>
          <w:p>
            <w:pPr>
              <w:spacing w:line="360" w:lineRule="auto"/>
              <w:jc w:val="both"/>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1.所有价格均用人民币表示，单位为元，精确到小数点后两位数。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2.此表的总报价是所有需采购方支付的本次采购标的金额总数，即磋商总价。磋商总价须包含完成用户需求要求所有内容的全部费用。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附件2－2</w:t>
      </w: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分项价格表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lang w:val="en-US" w:eastAsia="zh-CN"/>
        </w:rPr>
        <w:t xml:space="preserve">   </w:t>
      </w:r>
      <w:r>
        <w:rPr>
          <w:rFonts w:hint="eastAsia" w:asciiTheme="minorEastAsia" w:hAnsiTheme="minorEastAsia" w:eastAsiaTheme="minorEastAsia" w:cstheme="minorEastAsia"/>
          <w:color w:val="auto"/>
          <w:kern w:val="0"/>
          <w:sz w:val="24"/>
          <w:szCs w:val="28"/>
          <w:highlight w:val="none"/>
        </w:rPr>
        <w:t>金额单位：元</w:t>
      </w:r>
    </w:p>
    <w:tbl>
      <w:tblPr>
        <w:tblStyle w:val="42"/>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28"/>
        <w:gridCol w:w="1737"/>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序号</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服务内容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报价</w:t>
            </w: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备注</w:t>
            </w:r>
          </w:p>
          <w:p>
            <w:pPr>
              <w:widowControl w:val="0"/>
              <w:jc w:val="center"/>
              <w:rPr>
                <w:rFonts w:ascii="Times New Roman" w:hAnsi="Times New Roman" w:eastAsia="MingLiU_HKSCS"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宋体"/>
                <w:kern w:val="2"/>
                <w:sz w:val="21"/>
                <w:szCs w:val="21"/>
                <w:lang w:val="en-US" w:eastAsia="zh-CN" w:bidi="ar-SA"/>
              </w:rPr>
              <w:t>收费依据、收费标准等</w:t>
            </w:r>
            <w:r>
              <w:rPr>
                <w:rFonts w:ascii="Times New Roman" w:hAnsi="Times New Roman"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1"/>
                <w:lang w:val="en-US" w:eastAsia="zh-CN" w:bidi="ar-SA"/>
              </w:rPr>
            </w:pPr>
          </w:p>
        </w:tc>
        <w:tc>
          <w:tcPr>
            <w:tcW w:w="42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MingLiU_HKSCS"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总计</w:t>
            </w:r>
          </w:p>
        </w:tc>
        <w:tc>
          <w:tcPr>
            <w:tcW w:w="593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大写：人民币</w:t>
            </w:r>
            <w:r>
              <w:rPr>
                <w:rFonts w:ascii="Times New Roman" w:hAnsi="Times New Roman" w:eastAsia="宋体" w:cs="Times New Roman"/>
                <w:kern w:val="2"/>
                <w:sz w:val="21"/>
                <w:szCs w:val="21"/>
                <w:lang w:val="en-US" w:eastAsia="zh-CN" w:bidi="ar-SA"/>
              </w:rPr>
              <w:t>____________________</w:t>
            </w:r>
            <w:r>
              <w:rPr>
                <w:rFonts w:hint="eastAsia" w:ascii="Times New Roman" w:hAnsi="Times New Roman" w:eastAsia="宋体" w:cs="宋体"/>
                <w:kern w:val="2"/>
                <w:sz w:val="21"/>
                <w:szCs w:val="21"/>
                <w:lang w:val="en-US" w:eastAsia="zh-CN" w:bidi="ar-SA"/>
              </w:rPr>
              <w:t>元</w:t>
            </w:r>
          </w:p>
          <w:p>
            <w:pPr>
              <w:widowControl w:val="0"/>
              <w:jc w:val="left"/>
              <w:rPr>
                <w:rFonts w:ascii="Times New Roman" w:hAnsi="Times New Roman" w:eastAsia="MingLiU_HKSCS" w:cs="Times New Roman"/>
                <w:kern w:val="2"/>
                <w:sz w:val="21"/>
                <w:szCs w:val="21"/>
                <w:lang w:val="en-US" w:eastAsia="zh-CN" w:bidi="ar-SA"/>
              </w:rPr>
            </w:pPr>
            <w:r>
              <w:rPr>
                <w:rFonts w:hint="eastAsia" w:ascii="Times New Roman" w:hAnsi="Times New Roman" w:eastAsia="宋体" w:cs="宋体"/>
                <w:kern w:val="2"/>
                <w:sz w:val="21"/>
                <w:szCs w:val="21"/>
                <w:lang w:val="en-US" w:eastAsia="zh-CN" w:bidi="ar-SA"/>
              </w:rPr>
              <w:t>小写：</w:t>
            </w:r>
            <w:r>
              <w:rPr>
                <w:rFonts w:ascii="Arial" w:hAnsi="Arial" w:eastAsia="宋体" w:cs="Arial"/>
                <w:kern w:val="2"/>
                <w:sz w:val="21"/>
                <w:szCs w:val="21"/>
                <w:lang w:val="en-US" w:eastAsia="zh-CN" w:bidi="ar-SA"/>
              </w:rPr>
              <w:t>¥</w:t>
            </w:r>
            <w:r>
              <w:rPr>
                <w:rFonts w:ascii="Times New Roman" w:hAnsi="Times New Roman" w:eastAsia="宋体" w:cs="Times New Roman"/>
                <w:kern w:val="2"/>
                <w:sz w:val="21"/>
                <w:szCs w:val="21"/>
                <w:lang w:val="en-US" w:eastAsia="zh-CN" w:bidi="ar-SA"/>
              </w:rPr>
              <w:t>____________________</w:t>
            </w: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r>
        <w:rPr>
          <w:rFonts w:hint="eastAsia" w:asciiTheme="minorEastAsia" w:hAnsiTheme="minorEastAsia" w:eastAsiaTheme="minorEastAsia" w:cstheme="minorEastAsia"/>
          <w:color w:val="auto"/>
          <w:kern w:val="0"/>
          <w:sz w:val="24"/>
          <w:szCs w:val="28"/>
          <w:highlight w:val="none"/>
          <w:lang w:val="en-US" w:eastAsia="zh-CN"/>
        </w:rPr>
        <w:t>请</w:t>
      </w:r>
      <w:r>
        <w:rPr>
          <w:rFonts w:hint="eastAsia" w:asciiTheme="minorEastAsia" w:hAnsiTheme="minorEastAsia" w:eastAsiaTheme="minorEastAsia" w:cstheme="minorEastAsia"/>
          <w:color w:val="auto"/>
          <w:kern w:val="0"/>
          <w:sz w:val="24"/>
          <w:szCs w:val="28"/>
          <w:highlight w:val="none"/>
        </w:rPr>
        <w:t>根据本表格式</w:t>
      </w:r>
      <w:r>
        <w:rPr>
          <w:rFonts w:hint="eastAsia" w:asciiTheme="minorEastAsia" w:hAnsiTheme="minorEastAsia" w:eastAsiaTheme="minorEastAsia" w:cstheme="minorEastAsia"/>
          <w:color w:val="auto"/>
          <w:kern w:val="0"/>
          <w:sz w:val="24"/>
          <w:szCs w:val="28"/>
          <w:highlight w:val="none"/>
          <w:lang w:val="en-US" w:eastAsia="zh-CN"/>
        </w:rPr>
        <w:t>进行</w:t>
      </w:r>
      <w:r>
        <w:rPr>
          <w:rFonts w:hint="eastAsia" w:asciiTheme="minorEastAsia" w:hAnsiTheme="minorEastAsia" w:eastAsiaTheme="minorEastAsia" w:cstheme="minorEastAsia"/>
          <w:color w:val="auto"/>
          <w:kern w:val="0"/>
          <w:sz w:val="24"/>
          <w:szCs w:val="28"/>
          <w:highlight w:val="none"/>
        </w:rPr>
        <w:t>填写。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2.磋商报价包含实施和完成本项目需求要求所有内容的全部费用，此表报价</w:t>
      </w:r>
      <w:r>
        <w:rPr>
          <w:rFonts w:hint="eastAsia" w:asciiTheme="minorEastAsia" w:hAnsiTheme="minorEastAsia" w:eastAsiaTheme="minorEastAsia" w:cstheme="minorEastAsia"/>
          <w:color w:val="auto"/>
          <w:kern w:val="0"/>
          <w:sz w:val="24"/>
          <w:szCs w:val="28"/>
          <w:highlight w:val="none"/>
          <w:lang w:val="en-US" w:eastAsia="zh-CN"/>
        </w:rPr>
        <w:t>总计</w:t>
      </w:r>
      <w:r>
        <w:rPr>
          <w:rFonts w:hint="eastAsia" w:asciiTheme="minorEastAsia" w:hAnsiTheme="minorEastAsia" w:eastAsiaTheme="minorEastAsia" w:cstheme="minorEastAsia"/>
          <w:color w:val="auto"/>
          <w:kern w:val="0"/>
          <w:sz w:val="24"/>
          <w:szCs w:val="28"/>
          <w:highlight w:val="none"/>
        </w:rPr>
        <w:t>应与</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报价一览表”报价相一致。</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附件2－3</w:t>
      </w: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项目编号：____________________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　项目包号：</w:t>
      </w:r>
      <w:r>
        <w:rPr>
          <w:rFonts w:hint="eastAsia" w:asciiTheme="minorEastAsia" w:hAnsiTheme="minorEastAsia" w:eastAsiaTheme="minorEastAsia" w:cstheme="minorEastAsia"/>
          <w:color w:val="auto"/>
          <w:kern w:val="0"/>
          <w:sz w:val="24"/>
          <w:szCs w:val="28"/>
          <w:highlight w:val="none"/>
          <w:u w:val="single"/>
        </w:rPr>
        <w:t>无</w:t>
      </w:r>
    </w:p>
    <w:p>
      <w:pPr>
        <w:pStyle w:val="8"/>
        <w:rPr>
          <w:rFonts w:hint="eastAsia" w:asciiTheme="minorEastAsia" w:hAnsiTheme="minorEastAsia" w:eastAsiaTheme="minorEastAsia" w:cstheme="minorEastAsia"/>
          <w:color w:val="auto"/>
          <w:kern w:val="0"/>
          <w:sz w:val="24"/>
          <w:szCs w:val="28"/>
          <w:highlight w:val="none"/>
          <w:u w:val="single"/>
        </w:rPr>
      </w:pPr>
    </w:p>
    <w:tbl>
      <w:tblPr>
        <w:tblStyle w:val="42"/>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60"/>
        <w:gridCol w:w="3109"/>
        <w:gridCol w:w="123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56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310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2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56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包号</w:t>
            </w:r>
          </w:p>
        </w:tc>
        <w:tc>
          <w:tcPr>
            <w:tcW w:w="6070"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56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6070" w:type="dxa"/>
            <w:gridSpan w:val="3"/>
            <w:vAlign w:val="center"/>
          </w:tcPr>
          <w:p>
            <w:pPr>
              <w:spacing w:line="360" w:lineRule="auto"/>
              <w:jc w:val="center"/>
              <w:rPr>
                <w:rFonts w:hint="eastAsia"/>
                <w:color w:val="auto"/>
                <w:highlight w:val="none"/>
                <w:lang w:val="en-US" w:eastAsia="zh-CN"/>
              </w:rPr>
            </w:pPr>
            <w:r>
              <w:rPr>
                <w:rFonts w:hint="eastAsia"/>
                <w:color w:val="auto"/>
                <w:highlight w:val="none"/>
              </w:rPr>
              <w:t>大写：人民币______元</w:t>
            </w:r>
          </w:p>
          <w:p>
            <w:pPr>
              <w:spacing w:line="360" w:lineRule="auto"/>
              <w:jc w:val="center"/>
              <w:rPr>
                <w:rFonts w:hint="eastAsia"/>
                <w:color w:val="auto"/>
                <w:highlight w:val="none"/>
              </w:rPr>
            </w:pPr>
            <w:r>
              <w:rPr>
                <w:rFonts w:hint="eastAsia"/>
                <w:color w:val="auto"/>
                <w:highlight w:val="none"/>
              </w:rPr>
              <w:t>小写：</w:t>
            </w:r>
            <w:r>
              <w:rPr>
                <w:rFonts w:hint="eastAsia"/>
                <w:color w:val="auto"/>
                <w:highlight w:val="none"/>
                <w:lang w:eastAsia="zh-CN"/>
              </w:rPr>
              <w:t>¥</w:t>
            </w:r>
            <w:r>
              <w:rPr>
                <w:rFonts w:hint="eastAsia"/>
                <w:color w:val="auto"/>
                <w:highlight w:val="none"/>
              </w:rPr>
              <w:t>______元（小写请保留至小数点后两位）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56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服务期</w:t>
            </w:r>
          </w:p>
        </w:tc>
        <w:tc>
          <w:tcPr>
            <w:tcW w:w="6070" w:type="dxa"/>
            <w:gridSpan w:val="3"/>
            <w:vAlign w:val="center"/>
          </w:tcPr>
          <w:p>
            <w:pPr>
              <w:spacing w:line="360" w:lineRule="auto"/>
              <w:jc w:val="both"/>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56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w:t>
            </w:r>
          </w:p>
        </w:tc>
        <w:tc>
          <w:tcPr>
            <w:tcW w:w="6070"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56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6070"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pStyle w:val="8"/>
        <w:rPr>
          <w:rFonts w:hint="eastAsia" w:asciiTheme="minorEastAsia" w:hAnsiTheme="minorEastAsia" w:eastAsiaTheme="minorEastAsia" w:cstheme="minorEastAsia"/>
          <w:color w:val="auto"/>
          <w:kern w:val="0"/>
          <w:sz w:val="24"/>
          <w:szCs w:val="28"/>
          <w:highlight w:val="none"/>
          <w:u w:val="single"/>
        </w:rPr>
      </w:pPr>
    </w:p>
    <w:p>
      <w:pPr>
        <w:pStyle w:val="8"/>
        <w:rPr>
          <w:rFonts w:hint="eastAsia"/>
          <w:color w:val="auto"/>
          <w:highlight w:val="none"/>
        </w:rPr>
      </w:pPr>
    </w:p>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p>
    <w:p>
      <w:pPr>
        <w:spacing w:line="360" w:lineRule="auto"/>
        <w:ind w:right="400" w:firstLine="480" w:firstLineChars="200"/>
        <w:jc w:val="center"/>
        <w:rPr>
          <w:rFonts w:hint="default" w:asciiTheme="minorEastAsia" w:hAnsiTheme="minorEastAsia" w:eastAsiaTheme="minorEastAsia" w:cstheme="minorEastAsia"/>
          <w:color w:val="auto"/>
          <w:kern w:val="0"/>
          <w:sz w:val="24"/>
          <w:szCs w:val="28"/>
          <w:highlight w:val="none"/>
          <w:u w:val="single"/>
          <w:lang w:val="en-US" w:eastAsia="zh-CN"/>
        </w:rPr>
      </w:pPr>
      <w:r>
        <w:rPr>
          <w:rFonts w:hint="eastAsia" w:asciiTheme="minorEastAsia" w:hAnsiTheme="minorEastAsia" w:eastAsiaTheme="minorEastAsia" w:cstheme="minorEastAsia"/>
          <w:color w:val="auto"/>
          <w:kern w:val="0"/>
          <w:sz w:val="24"/>
          <w:szCs w:val="28"/>
          <w:highlight w:val="none"/>
        </w:rPr>
        <w:t xml:space="preserve">  供应商名称</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p>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val="en-US" w:eastAsia="zh-CN"/>
        </w:rPr>
        <w:t xml:space="preserve">   </w:t>
      </w:r>
      <w:r>
        <w:rPr>
          <w:rFonts w:hint="eastAsia" w:asciiTheme="minorEastAsia" w:hAnsiTheme="minorEastAsia" w:eastAsiaTheme="minorEastAsia" w:cstheme="minorEastAsia"/>
          <w:color w:val="auto"/>
          <w:kern w:val="0"/>
          <w:sz w:val="24"/>
          <w:szCs w:val="28"/>
          <w:highlight w:val="none"/>
        </w:rPr>
        <w:t>授权代表签字：</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年　　月　　日</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2" w:firstLineChars="200"/>
        <w:rPr>
          <w:rFonts w:hint="eastAsia" w:asciiTheme="minorEastAsia" w:hAnsiTheme="minorEastAsia" w:eastAsiaTheme="minorEastAsia" w:cstheme="minorEastAsia"/>
          <w:b/>
          <w:bCs/>
          <w:color w:val="auto"/>
          <w:kern w:val="0"/>
          <w:sz w:val="24"/>
          <w:szCs w:val="28"/>
          <w:highlight w:val="none"/>
        </w:rPr>
      </w:pPr>
    </w:p>
    <w:p>
      <w:pPr>
        <w:spacing w:line="360" w:lineRule="auto"/>
        <w:ind w:firstLine="482"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rPr>
        <w:t>注：本页《最终报价承诺书》由供应商在磋商现场依磋商情况填写 (</w:t>
      </w:r>
      <w:r>
        <w:rPr>
          <w:rFonts w:hint="eastAsia" w:asciiTheme="minorEastAsia" w:hAnsiTheme="minorEastAsia" w:eastAsiaTheme="minorEastAsia" w:cstheme="minorEastAsia"/>
          <w:b/>
          <w:bCs/>
          <w:color w:val="auto"/>
          <w:kern w:val="0"/>
          <w:sz w:val="24"/>
          <w:szCs w:val="28"/>
          <w:highlight w:val="none"/>
          <w:lang w:val="en-US" w:eastAsia="zh-CN"/>
        </w:rPr>
        <w:t>请供应商提前准备好，</w:t>
      </w:r>
      <w:r>
        <w:rPr>
          <w:rFonts w:hint="eastAsia" w:asciiTheme="minorEastAsia" w:hAnsiTheme="minorEastAsia" w:eastAsiaTheme="minorEastAsia" w:cstheme="minorEastAsia"/>
          <w:b/>
          <w:bCs/>
          <w:color w:val="auto"/>
          <w:kern w:val="0"/>
          <w:sz w:val="24"/>
          <w:szCs w:val="28"/>
          <w:highlight w:val="none"/>
        </w:rPr>
        <w:t>无需装订在响应文件内</w:t>
      </w:r>
      <w:r>
        <w:rPr>
          <w:rFonts w:hint="eastAsia" w:asciiTheme="minorEastAsia" w:hAnsiTheme="minorEastAsia" w:eastAsiaTheme="minorEastAsia" w:cstheme="minorEastAsia"/>
          <w:b/>
          <w:bCs/>
          <w:color w:val="auto"/>
          <w:kern w:val="0"/>
          <w:sz w:val="24"/>
          <w:szCs w:val="28"/>
          <w:highlight w:val="none"/>
          <w:lang w:eastAsia="zh-CN"/>
        </w:rPr>
        <w:t>，</w:t>
      </w:r>
      <w:r>
        <w:rPr>
          <w:rFonts w:hint="eastAsia" w:asciiTheme="minorEastAsia" w:hAnsiTheme="minorEastAsia" w:eastAsiaTheme="minorEastAsia" w:cstheme="minorEastAsia"/>
          <w:b/>
          <w:bCs/>
          <w:color w:val="auto"/>
          <w:kern w:val="0"/>
          <w:sz w:val="24"/>
          <w:szCs w:val="28"/>
          <w:highlight w:val="none"/>
          <w:lang w:val="en-US" w:eastAsia="zh-CN"/>
        </w:rPr>
        <w:t>磋商时如有需要再用文件袋单独密封递交</w:t>
      </w:r>
      <w:r>
        <w:rPr>
          <w:rFonts w:hint="eastAsia" w:asciiTheme="minorEastAsia" w:hAnsiTheme="minorEastAsia" w:eastAsiaTheme="minorEastAsia" w:cstheme="minorEastAsia"/>
          <w:b/>
          <w:bCs/>
          <w:color w:val="auto"/>
          <w:kern w:val="0"/>
          <w:sz w:val="24"/>
          <w:szCs w:val="28"/>
          <w:highlight w:val="none"/>
        </w:rPr>
        <w:t>)。</w:t>
      </w: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三、商务条款偏离表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2"/>
        <w:tblW w:w="8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1）供应商应按项目采购需求中的商务条款要求，结合自身磋商情况对商务条款逐条响应。（2）当响应文件响应的商务内容完全响应采购文件要求时，供应商应注明“无偏离”；低于采购文件要求时，应注明“负偏离”；优于采购文件要求的，应注明“正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说明：可提供付款凭证或金融机构、担保机构出具的保函原件。</w:t>
      </w: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rPr>
        <w:t>保证金汇款声明函(适用银行转账)</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w:t>
      </w:r>
      <w:r>
        <w:rPr>
          <w:rFonts w:hint="eastAsia" w:asciiTheme="minorEastAsia" w:hAnsiTheme="minorEastAsia" w:eastAsiaTheme="minorEastAsia" w:cstheme="minorEastAsia"/>
          <w:color w:val="auto"/>
          <w:kern w:val="0"/>
          <w:sz w:val="24"/>
          <w:szCs w:val="28"/>
          <w:highlight w:val="none"/>
          <w:u w:val="single"/>
        </w:rPr>
        <w:t>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我方为____________(项目名称)(项目编号：________)递交保证金人民币________元(大写人民币______元)已于______年____月____日以银行主动划账方式划入你方账户。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详见附件：银行出具的汇款单或转账凭证复印件。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退还保证金时请按以下内容划入我方账户。若因内容不全、错误、字迹潦草模糊导致该项目保证金未能及时退还或退还过程中发生错误，我方将承担全部责任和损失。</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单位全称：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开户银行：</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开户账号：</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供应商(公章)：　　</w:t>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地址：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项目联系人：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电话(手机)：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57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汇款单或转账凭证复印件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五、供应商的资格证明材料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602" w:firstLineChars="200"/>
        <w:jc w:val="center"/>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bCs w:val="0"/>
          <w:color w:val="auto"/>
          <w:kern w:val="0"/>
          <w:sz w:val="30"/>
          <w:szCs w:val="30"/>
          <w:highlight w:val="none"/>
        </w:rPr>
        <w:t>供应商基本情况表</w:t>
      </w:r>
    </w:p>
    <w:p>
      <w:pPr>
        <w:pStyle w:val="20"/>
        <w:spacing w:line="360" w:lineRule="auto"/>
        <w:ind w:firstLine="480" w:firstLineChars="200"/>
        <w:rPr>
          <w:rFonts w:hAnsi="宋体"/>
          <w:color w:val="auto"/>
          <w:sz w:val="21"/>
          <w:szCs w:val="21"/>
          <w:highlight w:val="none"/>
        </w:rPr>
      </w:pPr>
      <w:r>
        <w:rPr>
          <w:rFonts w:hint="eastAsia" w:asciiTheme="minorEastAsia" w:hAnsiTheme="minorEastAsia" w:eastAsiaTheme="minorEastAsia" w:cstheme="minorEastAsia"/>
          <w:color w:val="auto"/>
          <w:kern w:val="0"/>
          <w:sz w:val="24"/>
          <w:szCs w:val="28"/>
          <w:highlight w:val="none"/>
        </w:rPr>
        <w:t>　</w:t>
      </w:r>
      <w:r>
        <w:rPr>
          <w:rFonts w:hint="eastAsia" w:hAnsi="宋体"/>
          <w:color w:val="auto"/>
          <w:sz w:val="21"/>
          <w:szCs w:val="21"/>
          <w:highlight w:val="none"/>
        </w:rPr>
        <w:t>供应商：</w:t>
      </w:r>
      <w:r>
        <w:rPr>
          <w:rFonts w:hAnsi="宋体"/>
          <w:b/>
          <w:bCs/>
          <w:color w:val="auto"/>
          <w:sz w:val="21"/>
          <w:szCs w:val="21"/>
          <w:highlight w:val="none"/>
        </w:rPr>
        <w:t>(</w:t>
      </w:r>
      <w:r>
        <w:rPr>
          <w:rFonts w:hint="eastAsia" w:hAnsi="宋体"/>
          <w:b/>
          <w:bCs/>
          <w:color w:val="auto"/>
          <w:sz w:val="21"/>
          <w:szCs w:val="21"/>
          <w:highlight w:val="none"/>
        </w:rPr>
        <w:t>公章</w:t>
      </w:r>
      <w:r>
        <w:rPr>
          <w:rFonts w:hAnsi="宋体"/>
          <w:b/>
          <w:bCs/>
          <w:color w:val="auto"/>
          <w:sz w:val="21"/>
          <w:szCs w:val="21"/>
          <w:highlight w:val="none"/>
        </w:rPr>
        <w:t>)</w:t>
      </w:r>
    </w:p>
    <w:tbl>
      <w:tblPr>
        <w:tblStyle w:val="4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供应商名称</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法定代表人</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邮政编码</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授权代表</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联系电话</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电子邮箱</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传真</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上年营业收入（2020年）</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员工总人数</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税务登记机关</w:t>
            </w: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资质名称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等级</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发证机关</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直接控股股东名称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出资比例</w:t>
            </w: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bCs/>
                <w:color w:val="auto"/>
                <w:sz w:val="21"/>
                <w:szCs w:val="21"/>
                <w:highlight w:val="no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备注</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Ansi="宋体"/>
                <w:color w:val="auto"/>
                <w:kern w:val="2"/>
                <w:sz w:val="21"/>
                <w:szCs w:val="21"/>
                <w:highlight w:val="none"/>
                <w:lang w:val="en-US" w:eastAsia="zh-CN"/>
              </w:rPr>
            </w:pPr>
          </w:p>
        </w:tc>
      </w:tr>
    </w:tbl>
    <w:p>
      <w:pPr>
        <w:spacing w:line="360" w:lineRule="auto"/>
        <w:ind w:firstLine="420" w:firstLineChars="200"/>
        <w:contextualSpacing/>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pPr>
        <w:spacing w:line="360" w:lineRule="auto"/>
        <w:ind w:firstLine="420" w:firstLineChars="200"/>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2.管理关系：是指不具有出资持股关系的其他单位之间存在的管理与被管理关系，如一些上下级关系的事业单位和团体组织。本表所指的管理关系仅限于直接管理关系，不包括间接的管理关系。</w:t>
      </w:r>
    </w:p>
    <w:p>
      <w:pPr>
        <w:pStyle w:val="2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3.供应商不存在直接控股股东或管理关系的，则填“无”。</w:t>
      </w:r>
    </w:p>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br w:type="page"/>
      </w:r>
      <w:r>
        <w:rPr>
          <w:rFonts w:hint="eastAsia" w:asciiTheme="minorEastAsia" w:hAnsiTheme="minorEastAsia" w:eastAsiaTheme="minorEastAsia" w:cstheme="minorEastAsia"/>
          <w:b/>
          <w:bCs/>
          <w:color w:val="auto"/>
          <w:kern w:val="0"/>
          <w:sz w:val="21"/>
          <w:szCs w:val="21"/>
          <w:highlight w:val="none"/>
        </w:rPr>
        <w:t>备注：</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★1.有效的新版“营业执照”或《事业单位法人证书》或其他依法成立组织的证明文件（必须具有，如能够在线查询的材料，请提供国家有关部门规定查询的网址链接）。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★2.有效的税务登记证（必须具有，如能够在线查询的材料，请提供国家有关部门规定查询的网址链接）；（若已经取得“三证合一”的可不提供）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★3.法定代表人（负责人）完整有效的身份证复印件（第二代身份证必须提供正反面复印件）。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★4.法定代表人（负责人）授权委托书(格式见第五章)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5.响应文件递交截止时间前半年内，供应商提供至少三个月财务报表（财务报表应至少包含资产负债表和损益表或利润表的复印件），或提供供应商2021年度经第三方审计的财务报告复印件（新成立的公司按照实际情况提供财务报表）；</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6.响应文件递交截止时间前半年内，供应商提供至少三个月的依法纳税的依法缴纳税费或依法免缴税费的证明（复印件）；供应商无纳税记录或为新成立公司，应提供由供应商所在地主管税务部门出具的依法纳税或依法免税证明（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7.响应文件递交截止时间前半年内,供应商提供至少三个月的依法缴纳社保费的缴费凭证（复印件）；供应商无缴费记录或为新成立公司，应提供由供应商所在地社保部门出具的依法缴纳或依法免缴社保费证明（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★8.参加本采购活动前三年内在经营活动中没有重大违法记录的书面声明（格式见第五章）。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9.符合磋商文件要求的供应商特定资格条件的证明材料：无。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10.符合相关扶持政策的证明材料：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p>
    <w:p>
      <w:pPr>
        <w:keepNext/>
        <w:keepLines/>
        <w:widowControl w:val="0"/>
        <w:spacing w:before="0" w:after="0" w:line="360" w:lineRule="auto"/>
        <w:jc w:val="both"/>
        <w:outlineLvl w:val="5"/>
        <w:rPr>
          <w:rFonts w:hint="eastAsia" w:ascii="宋体" w:hAnsi="宋体" w:eastAsia="宋体" w:cs="Calibri"/>
          <w:b/>
          <w:bCs w:val="0"/>
          <w:color w:val="auto"/>
          <w:kern w:val="2"/>
          <w:sz w:val="28"/>
          <w:szCs w:val="22"/>
          <w:highlight w:val="none"/>
          <w:lang w:val="en-US" w:eastAsia="zh-CN" w:bidi="ar-SA"/>
        </w:rPr>
      </w:pPr>
      <w:r>
        <w:rPr>
          <w:rFonts w:hint="eastAsia" w:ascii="宋体" w:hAnsi="宋体" w:eastAsia="宋体" w:cs="宋体"/>
          <w:b/>
          <w:color w:val="auto"/>
          <w:kern w:val="2"/>
          <w:sz w:val="24"/>
          <w:szCs w:val="24"/>
          <w:highlight w:val="none"/>
          <w:lang w:val="en-US" w:eastAsia="zh-CN" w:bidi="ar-SA"/>
        </w:rPr>
        <w:t>参加本采购活动前三年内在经营活动中没有重大违法记录的书面声明格式：</w:t>
      </w: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参加采购活动前三年内在经营活动中</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没有重大违法记录的书面声明</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p>
    <w:p>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我单位在参加采购活动前三年内在经营活动中没有《政府采购法》第二十二条第一款第</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项所称重大违法记录</w:t>
      </w:r>
      <w:r>
        <w:rPr>
          <w:rFonts w:hint="eastAsia" w:ascii="宋体" w:hAnsi="宋体" w:eastAsia="宋体" w:cs="MingLiU_HKS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包括：</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我单位或者其法定代表人（负责人）、董事、监事、高级管理人员未因经营活动中的违法行为受到刑事处罚或者责令停产停业、吊销许可证或者执照、较大数额罚款等行政处罚。</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公章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法定代表人（负责人）或其授权代表</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签字或盖章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ascii="宋体" w:hAnsi="宋体" w:eastAsia="宋体" w:cs="Times New Roman"/>
          <w:color w:val="auto"/>
          <w:kern w:val="2"/>
          <w:sz w:val="24"/>
          <w:szCs w:val="24"/>
          <w:highlight w:val="none"/>
          <w:lang w:val="en-US" w:eastAsia="zh-CN" w:bidi="ar-SA"/>
        </w:rPr>
        <w:t>______</w:t>
      </w:r>
      <w:r>
        <w:rPr>
          <w:rFonts w:hint="eastAsia" w:ascii="宋体" w:hAnsi="宋体" w:eastAsia="宋体" w:cs="宋体"/>
          <w:color w:val="auto"/>
          <w:kern w:val="2"/>
          <w:sz w:val="24"/>
          <w:szCs w:val="24"/>
          <w:highlight w:val="none"/>
          <w:lang w:val="en-US" w:eastAsia="zh-CN" w:bidi="ar-SA"/>
        </w:rPr>
        <w:t>年</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月</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日</w:t>
      </w:r>
    </w:p>
    <w:p>
      <w:pPr>
        <w:pStyle w:val="2"/>
        <w:spacing w:line="360" w:lineRule="auto"/>
        <w:rPr>
          <w:rFonts w:hint="eastAsia"/>
          <w:color w:val="auto"/>
          <w:highlight w:val="none"/>
          <w:lang w:val="en-US" w:eastAsia="zh-CN"/>
        </w:rPr>
      </w:pPr>
    </w:p>
    <w:p>
      <w:pPr>
        <w:pStyle w:val="2"/>
        <w:rPr>
          <w:rFonts w:hint="eastAsia"/>
          <w:color w:val="auto"/>
          <w:highlight w:val="none"/>
        </w:rPr>
      </w:pPr>
    </w:p>
    <w:p>
      <w:pPr>
        <w:numPr>
          <w:ilvl w:val="0"/>
          <w:numId w:val="0"/>
        </w:numPr>
        <w:spacing w:line="360" w:lineRule="auto"/>
        <w:ind w:leftChars="0"/>
        <w:rPr>
          <w:rFonts w:hint="eastAsia" w:asciiTheme="minorEastAsia" w:hAnsiTheme="minorEastAsia" w:eastAsiaTheme="minorEastAsia" w:cstheme="minorEastAsia"/>
          <w:color w:val="auto"/>
          <w:kern w:val="0"/>
          <w:sz w:val="24"/>
          <w:szCs w:val="28"/>
          <w:highlight w:val="none"/>
          <w:lang w:eastAsia="zh-CN"/>
        </w:rPr>
      </w:pPr>
    </w:p>
    <w:p>
      <w:pPr>
        <w:numPr>
          <w:ilvl w:val="0"/>
          <w:numId w:val="0"/>
        </w:numPr>
        <w:spacing w:line="360" w:lineRule="auto"/>
        <w:ind w:leftChars="0"/>
        <w:rPr>
          <w:b w:val="0"/>
          <w:bCs w:val="0"/>
          <w:color w:val="auto"/>
          <w:highlight w:val="none"/>
        </w:rPr>
      </w:pPr>
      <w:r>
        <w:rPr>
          <w:rFonts w:hint="eastAsia" w:asciiTheme="minorEastAsia" w:hAnsiTheme="minorEastAsia" w:eastAsiaTheme="minorEastAsia" w:cstheme="minorEastAsia"/>
          <w:b w:val="0"/>
          <w:bCs w:val="0"/>
          <w:color w:val="auto"/>
          <w:kern w:val="0"/>
          <w:sz w:val="24"/>
          <w:szCs w:val="28"/>
          <w:highlight w:val="none"/>
          <w:lang w:eastAsia="zh-CN"/>
        </w:rPr>
        <w:br w:type="page"/>
      </w:r>
      <w:r>
        <w:rPr>
          <w:rFonts w:hint="eastAsia" w:asciiTheme="minorEastAsia" w:hAnsiTheme="minorEastAsia" w:eastAsiaTheme="minorEastAsia" w:cstheme="minorEastAsia"/>
          <w:b w:val="0"/>
          <w:bCs w:val="0"/>
          <w:color w:val="auto"/>
          <w:kern w:val="0"/>
          <w:sz w:val="24"/>
          <w:szCs w:val="28"/>
          <w:highlight w:val="none"/>
          <w:lang w:eastAsia="zh-CN"/>
        </w:rPr>
        <w:t>六、</w:t>
      </w:r>
      <w:r>
        <w:rPr>
          <w:rFonts w:hint="eastAsia" w:asciiTheme="minorEastAsia" w:hAnsiTheme="minorEastAsia" w:eastAsiaTheme="minorEastAsia" w:cstheme="minorEastAsia"/>
          <w:b w:val="0"/>
          <w:bCs w:val="0"/>
          <w:color w:val="auto"/>
          <w:kern w:val="0"/>
          <w:sz w:val="24"/>
          <w:szCs w:val="28"/>
          <w:highlight w:val="none"/>
        </w:rPr>
        <w:t>提供符合</w:t>
      </w:r>
      <w:r>
        <w:rPr>
          <w:rFonts w:hint="eastAsia" w:asciiTheme="minorEastAsia" w:hAnsiTheme="minorEastAsia" w:eastAsiaTheme="minorEastAsia" w:cstheme="minorEastAsia"/>
          <w:b w:val="0"/>
          <w:bCs w:val="0"/>
          <w:color w:val="auto"/>
          <w:kern w:val="0"/>
          <w:sz w:val="24"/>
          <w:szCs w:val="28"/>
          <w:highlight w:val="none"/>
          <w:lang w:val="en-US" w:eastAsia="zh-CN"/>
        </w:rPr>
        <w:t>相关扶持</w:t>
      </w:r>
      <w:r>
        <w:rPr>
          <w:rFonts w:hint="eastAsia" w:asciiTheme="minorEastAsia" w:hAnsiTheme="minorEastAsia" w:eastAsiaTheme="minorEastAsia" w:cstheme="minorEastAsia"/>
          <w:b w:val="0"/>
          <w:bCs w:val="0"/>
          <w:color w:val="auto"/>
          <w:kern w:val="0"/>
          <w:sz w:val="24"/>
          <w:szCs w:val="28"/>
          <w:highlight w:val="none"/>
        </w:rPr>
        <w:t>政策的证明材料</w:t>
      </w:r>
    </w:p>
    <w:p>
      <w:pPr>
        <w:pStyle w:val="2"/>
        <w:numPr>
          <w:ilvl w:val="0"/>
          <w:numId w:val="0"/>
        </w:numPr>
        <w:ind w:leftChars="0"/>
        <w:rPr>
          <w:rFonts w:hint="eastAsia" w:ascii="宋体" w:hAnsi="宋体" w:cs="宋体"/>
          <w:b/>
          <w:color w:val="auto"/>
          <w:sz w:val="24"/>
          <w:highlight w:val="none"/>
          <w:lang w:eastAsia="zh-CN"/>
        </w:rPr>
      </w:pPr>
    </w:p>
    <w:p>
      <w:pPr>
        <w:pStyle w:val="2"/>
        <w:numPr>
          <w:ilvl w:val="0"/>
          <w:numId w:val="0"/>
        </w:numPr>
        <w:ind w:leftChars="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中小企业声明函格式：</w:t>
      </w:r>
    </w:p>
    <w:p>
      <w:pPr>
        <w:pStyle w:val="2"/>
        <w:numPr>
          <w:ilvl w:val="0"/>
          <w:numId w:val="0"/>
        </w:numPr>
        <w:ind w:leftChars="0"/>
        <w:rPr>
          <w:rFonts w:hint="eastAsia" w:ascii="宋体" w:hAnsi="宋体" w:cs="宋体"/>
          <w:b/>
          <w:color w:val="auto"/>
          <w:sz w:val="24"/>
          <w:highlight w:val="none"/>
          <w:lang w:eastAsia="zh-CN"/>
        </w:rPr>
      </w:pPr>
    </w:p>
    <w:p>
      <w:pPr>
        <w:widowControl w:val="0"/>
        <w:spacing w:line="360" w:lineRule="auto"/>
        <w:ind w:firstLine="562" w:firstLineChars="2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中小企业声明函（服务）</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 xml:space="preserve">的 </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1.</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rPr>
          <w:rFonts w:hint="eastAsia" w:ascii="宋体" w:hAnsi="宋体" w:eastAsia="宋体" w:cs="宋体"/>
          <w:color w:val="auto"/>
          <w:sz w:val="24"/>
          <w:szCs w:val="24"/>
          <w:highlight w:val="none"/>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p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资产总额填报上一年度（2021年）数据，无上一年度数据的新成立企业可不填报。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2.中小企业划型应按《关于印发中小企业划型标准规定的通知》（工信部联企业〔2011〕300号）规定的划型标准划分。</w:t>
      </w:r>
    </w:p>
    <w:p>
      <w:pPr>
        <w:spacing w:line="360" w:lineRule="auto"/>
        <w:ind w:firstLine="562" w:firstLineChars="200"/>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sz w:val="28"/>
          <w:szCs w:val="28"/>
          <w:highlight w:val="none"/>
          <w:u w:val="double"/>
        </w:rPr>
        <w:t>本项目</w:t>
      </w:r>
      <w:r>
        <w:rPr>
          <w:rFonts w:hint="eastAsia" w:ascii="宋体" w:hAnsi="宋体" w:cs="宋体"/>
          <w:b/>
          <w:bCs/>
          <w:color w:val="auto"/>
          <w:sz w:val="28"/>
          <w:szCs w:val="28"/>
          <w:highlight w:val="none"/>
          <w:u w:val="double"/>
          <w:lang w:eastAsia="zh-CN"/>
        </w:rPr>
        <w:t>采购标的对应的中小企业划分标准所属行业</w:t>
      </w:r>
      <w:r>
        <w:rPr>
          <w:rFonts w:hint="eastAsia" w:ascii="宋体" w:hAnsi="宋体" w:eastAsia="宋体" w:cs="宋体"/>
          <w:b/>
          <w:bCs/>
          <w:color w:val="auto"/>
          <w:sz w:val="28"/>
          <w:szCs w:val="28"/>
          <w:highlight w:val="none"/>
          <w:u w:val="double"/>
        </w:rPr>
        <w:t>为</w:t>
      </w:r>
      <w:r>
        <w:rPr>
          <w:rFonts w:hint="eastAsia" w:ascii="宋体" w:hAnsi="宋体" w:cs="宋体"/>
          <w:b/>
          <w:bCs/>
          <w:color w:val="auto"/>
          <w:sz w:val="28"/>
          <w:szCs w:val="28"/>
          <w:highlight w:val="none"/>
          <w:u w:val="double"/>
          <w:lang w:val="en-US" w:eastAsia="zh-CN"/>
        </w:rPr>
        <w:t>商务服务业</w:t>
      </w:r>
      <w:r>
        <w:rPr>
          <w:rFonts w:hint="eastAsia" w:ascii="宋体" w:hAnsi="宋体" w:eastAsia="宋体" w:cs="宋体"/>
          <w:b/>
          <w:bCs/>
          <w:color w:val="auto"/>
          <w:sz w:val="28"/>
          <w:szCs w:val="28"/>
          <w:highlight w:val="none"/>
          <w:u w:val="double"/>
        </w:rPr>
        <w:t>。</w:t>
      </w:r>
    </w:p>
    <w:p>
      <w:pPr>
        <w:pStyle w:val="3"/>
        <w:rPr>
          <w:rFonts w:hint="eastAsia"/>
          <w:color w:val="auto"/>
          <w:highlight w:val="none"/>
          <w:u w:val="single"/>
        </w:rPr>
      </w:pP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auto"/>
          <w:spacing w:val="0"/>
          <w:sz w:val="24"/>
          <w:szCs w:val="24"/>
          <w:highlight w:val="none"/>
        </w:rPr>
      </w:pPr>
      <w:r>
        <w:rPr>
          <w:rFonts w:hint="eastAsia" w:ascii="宋体" w:hAnsi="宋体" w:cs="宋体"/>
          <w:b/>
          <w:bCs/>
          <w:color w:val="auto"/>
          <w:kern w:val="0"/>
          <w:sz w:val="28"/>
          <w:szCs w:val="28"/>
          <w:highlight w:val="none"/>
        </w:rPr>
        <w:br w:type="page"/>
      </w:r>
      <w:r>
        <w:rPr>
          <w:rFonts w:hint="eastAsia" w:ascii="宋体" w:hAnsi="宋体" w:eastAsia="宋体" w:cs="宋体"/>
          <w:b/>
          <w:i w:val="0"/>
          <w:caps w:val="0"/>
          <w:color w:val="auto"/>
          <w:spacing w:val="0"/>
          <w:sz w:val="36"/>
          <w:szCs w:val="36"/>
          <w:highlight w:val="none"/>
          <w:u w:val="none"/>
          <w:shd w:val="clear" w:fill="FFFFFF"/>
        </w:rPr>
        <w:t>关于印发中小企业划型标准规定的通知</w:t>
      </w:r>
      <w:r>
        <w:rPr>
          <w:rFonts w:hint="eastAsia" w:ascii="宋体" w:hAnsi="宋体" w:eastAsia="宋体" w:cs="宋体"/>
          <w:b w:val="0"/>
          <w:i w:val="0"/>
          <w:caps w:val="0"/>
          <w:color w:val="auto"/>
          <w:spacing w:val="0"/>
          <w:sz w:val="24"/>
          <w:szCs w:val="24"/>
          <w:highlight w:val="none"/>
          <w:shd w:val="clear" w:fill="FFFFFF"/>
        </w:rPr>
        <w:br w:type="textWrapping"/>
      </w:r>
      <w:r>
        <w:rPr>
          <w:rFonts w:ascii="楷体_GB2312" w:hAnsi="宋体" w:eastAsia="楷体_GB2312" w:cs="楷体_GB2312"/>
          <w:b w:val="0"/>
          <w:i w:val="0"/>
          <w:caps w:val="0"/>
          <w:color w:val="auto"/>
          <w:spacing w:val="0"/>
          <w:sz w:val="24"/>
          <w:szCs w:val="24"/>
          <w:highlight w:val="none"/>
          <w:shd w:val="clear" w:fill="FFFFFF"/>
        </w:rPr>
        <w:t>工信部联企业〔2011〕300号</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shd w:val="clear" w:fill="FFFFFF"/>
        </w:rPr>
        <w:t>各省、自治区、直辖市人民政府，国务院各部委、各直属机构及有关单位：</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工业和信息化部　国家统计局</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国家发展和改革委员会　财政部</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二○一一年六月十八日</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shd w:val="clear" w:fill="FFFFFF"/>
        </w:rPr>
        <w:t> </w:t>
      </w: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auto"/>
          <w:spacing w:val="0"/>
          <w:sz w:val="24"/>
          <w:szCs w:val="24"/>
          <w:highlight w:val="none"/>
        </w:rPr>
      </w:pPr>
      <w:r>
        <w:rPr>
          <w:rStyle w:val="44"/>
          <w:rFonts w:hint="eastAsia" w:ascii="宋体" w:hAnsi="宋体" w:eastAsia="宋体" w:cs="宋体"/>
          <w:i w:val="0"/>
          <w:caps w:val="0"/>
          <w:color w:val="auto"/>
          <w:spacing w:val="0"/>
          <w:sz w:val="36"/>
          <w:szCs w:val="36"/>
          <w:highlight w:val="none"/>
          <w:shd w:val="clear" w:fill="FFFFFF"/>
        </w:rPr>
        <w:t>中小企业划型标准规定</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shd w:val="clear" w:fill="FFFFFF"/>
        </w:rPr>
        <w:t>　　一、根据《中华人民共和国中小企业促进法》和《国务院关于进一步促进中小企业发展的若干意见》(国发〔2009〕36号)，制定本规定。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二、中小企业划分为中型、小型、微型三种类型，具体标准根据企业从业人员、营业收入、资产总额等指标，结合行业特点制定。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四、各行业划型标准为：</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五、企业类型的划分以统计部门的统计数据为依据。</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八、本规定由工业和信息化部、国家统计局会同有关部门根据《国民经济行业分类》修订情况和企业发展变化情况适时修订。</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九、本规定由工业和信息化部、国家统计局会同有关部门负责解释。</w:t>
      </w:r>
      <w:r>
        <w:rPr>
          <w:rFonts w:hint="eastAsia" w:ascii="宋体" w:hAnsi="宋体" w:eastAsia="宋体" w:cs="宋体"/>
          <w:b w:val="0"/>
          <w:i w:val="0"/>
          <w:caps w:val="0"/>
          <w:color w:val="auto"/>
          <w:spacing w:val="0"/>
          <w:sz w:val="24"/>
          <w:szCs w:val="24"/>
          <w:highlight w:val="none"/>
          <w:shd w:val="clear" w:fill="FFFFFF"/>
        </w:rPr>
        <w:br w:type="textWrapping"/>
      </w:r>
      <w:r>
        <w:rPr>
          <w:rFonts w:hint="eastAsia" w:ascii="宋体" w:hAnsi="宋体" w:eastAsia="宋体" w:cs="宋体"/>
          <w:b w:val="0"/>
          <w:i w:val="0"/>
          <w:caps w:val="0"/>
          <w:color w:val="auto"/>
          <w:spacing w:val="0"/>
          <w:sz w:val="24"/>
          <w:szCs w:val="24"/>
          <w:highlight w:val="none"/>
          <w:shd w:val="clear" w:fill="FFFFFF"/>
        </w:rPr>
        <w:t>　　十、本规定自发布之日起执行，原国家经贸委、原国家计委、财政部和国家统计局2003年颁布的《中小企业标准暂行规定》同时废止。</w:t>
      </w:r>
    </w:p>
    <w:p>
      <w:pPr>
        <w:rPr>
          <w:color w:val="auto"/>
          <w:highlight w:val="none"/>
        </w:rPr>
      </w:pPr>
    </w:p>
    <w:p>
      <w:pPr>
        <w:overflowPunct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残疾人福利性单位声明函</w:t>
      </w:r>
      <w:r>
        <w:rPr>
          <w:rFonts w:hint="eastAsia" w:ascii="宋体" w:hAnsi="宋体" w:cs="宋体"/>
          <w:b/>
          <w:color w:val="auto"/>
          <w:sz w:val="24"/>
          <w:highlight w:val="none"/>
          <w:lang w:eastAsia="zh-CN"/>
        </w:rPr>
        <w:t>格式：</w:t>
      </w:r>
    </w:p>
    <w:p>
      <w:pPr>
        <w:rPr>
          <w:rFonts w:hint="eastAsia" w:ascii="宋体" w:hAnsi="宋体" w:eastAsia="宋体" w:cs="宋体"/>
          <w:color w:val="auto"/>
          <w:sz w:val="24"/>
          <w:highlight w:val="none"/>
        </w:rPr>
      </w:pPr>
    </w:p>
    <w:p>
      <w:pPr>
        <w:rPr>
          <w:rFonts w:hint="eastAsia"/>
          <w:color w:val="auto"/>
          <w:highlight w:val="none"/>
        </w:rPr>
      </w:pPr>
    </w:p>
    <w:p>
      <w:pPr>
        <w:overflowPunct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overflowPunct w:val="0"/>
        <w:spacing w:line="360" w:lineRule="auto"/>
        <w:ind w:firstLine="480" w:firstLineChars="200"/>
        <w:rPr>
          <w:rFonts w:hint="eastAsia" w:ascii="宋体" w:hAnsi="宋体" w:eastAsia="宋体" w:cs="宋体"/>
          <w:color w:val="auto"/>
          <w:sz w:val="24"/>
          <w:highlight w:val="none"/>
        </w:rPr>
      </w:pPr>
    </w:p>
    <w:p>
      <w:pPr>
        <w:overflowPunct w:val="0"/>
        <w:spacing w:line="360" w:lineRule="auto"/>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供应商为残疾人福利性单位的，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结果将同时公告其《残疾人福利性单位声明函》，接受社会监督。</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宋体" w:hAnsi="宋体" w:eastAsia="宋体" w:cs="宋体"/>
          <w:color w:val="auto"/>
          <w:sz w:val="24"/>
          <w:highlight w:val="none"/>
        </w:rPr>
        <w:br w:type="page"/>
      </w:r>
      <w:r>
        <w:rPr>
          <w:rFonts w:hint="eastAsia" w:asciiTheme="minorEastAsia" w:hAnsiTheme="minorEastAsia" w:eastAsiaTheme="minorEastAsia" w:cstheme="minorEastAsia"/>
          <w:color w:val="auto"/>
          <w:kern w:val="0"/>
          <w:sz w:val="24"/>
          <w:szCs w:val="28"/>
          <w:highlight w:val="none"/>
          <w:lang w:eastAsia="zh-CN"/>
        </w:rPr>
        <w:t>七、</w:t>
      </w:r>
      <w:r>
        <w:rPr>
          <w:rFonts w:hint="eastAsia" w:asciiTheme="minorEastAsia" w:hAnsiTheme="minorEastAsia" w:eastAsiaTheme="minorEastAsia" w:cstheme="minorEastAsia"/>
          <w:color w:val="auto"/>
          <w:kern w:val="0"/>
          <w:sz w:val="24"/>
          <w:szCs w:val="28"/>
          <w:highlight w:val="none"/>
        </w:rPr>
        <w:t>磋商须知前附表要求供应商提供的其他资料</w:t>
      </w:r>
    </w:p>
    <w:p>
      <w:pPr>
        <w:rPr>
          <w:rFonts w:hint="eastAsia" w:asciiTheme="minorEastAsia" w:hAnsiTheme="minorEastAsia" w:eastAsiaTheme="minorEastAsia" w:cstheme="minorEastAsia"/>
          <w:color w:val="auto"/>
          <w:kern w:val="0"/>
          <w:sz w:val="24"/>
          <w:szCs w:val="28"/>
          <w:highlight w:val="none"/>
        </w:rPr>
      </w:pP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r>
        <w:rPr>
          <w:rFonts w:hint="eastAsia" w:asciiTheme="minorEastAsia" w:hAnsiTheme="minorEastAsia" w:eastAsiaTheme="minorEastAsia" w:cstheme="minorEastAsia"/>
          <w:b/>
          <w:color w:val="auto"/>
          <w:spacing w:val="20"/>
          <w:sz w:val="24"/>
          <w:szCs w:val="28"/>
          <w:highlight w:val="none"/>
        </w:rPr>
        <w:t>（注意：供应商递交响应文件时，请同时单独递交供应商信息、响应文件签收回执，无需密封包装）</w:t>
      </w: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p>
    <w:p>
      <w:pPr>
        <w:ind w:firstLine="420"/>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供应商信息</w:t>
      </w:r>
    </w:p>
    <w:p>
      <w:pPr>
        <w:autoSpaceDE w:val="0"/>
        <w:autoSpaceDN w:val="0"/>
        <w:adjustRightInd w:val="0"/>
        <w:spacing w:line="480" w:lineRule="auto"/>
        <w:jc w:val="left"/>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供应商信息：</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供应商全称：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供应商统一社会信用代码：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供应商联系电话：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供应商地址：</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法定代表人（负责人）姓名：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法定代表人（负责人）身份证号码：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授权委托代理人姓名：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授权委托代理人身份证号码：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p>
    <w:p>
      <w:pPr>
        <w:snapToGrid w:val="0"/>
        <w:spacing w:line="480" w:lineRule="auto"/>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供应商开票资料：</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开票信息</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（填“专票”或“普票”）</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供应商名称：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纳税人识别号：</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地址、电话：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开户行及帐号：</w:t>
      </w:r>
      <w:r>
        <w:rPr>
          <w:rFonts w:hint="eastAsia" w:asciiTheme="minorEastAsia" w:hAnsiTheme="minorEastAsia" w:eastAsiaTheme="minorEastAsia" w:cstheme="minorEastAsia"/>
          <w:color w:val="auto"/>
          <w:sz w:val="24"/>
          <w:szCs w:val="28"/>
          <w:highlight w:val="none"/>
          <w:u w:val="single"/>
        </w:rPr>
        <w:t xml:space="preserve">             　               </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br w:type="page"/>
      </w: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393"/>
        <w:gridCol w:w="447"/>
        <w:gridCol w:w="14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39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886"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p>
    <w:p>
      <w:pPr>
        <w:autoSpaceDE w:val="0"/>
        <w:autoSpaceDN w:val="0"/>
        <w:adjustRightInd w:val="0"/>
        <w:spacing w:line="276" w:lineRule="auto"/>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注：在“采购代理机构签收人”处，供应商不用填写</w:t>
      </w:r>
    </w:p>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803"/>
        <w:gridCol w:w="37"/>
        <w:gridCol w:w="1439"/>
        <w:gridCol w:w="5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80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2050" w:type="dxa"/>
            <w:gridSpan w:val="3"/>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275"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八、供应商认为需提供的其他资料</w:t>
      </w:r>
    </w:p>
    <w:p>
      <w:pPr>
        <w:rPr>
          <w:rFonts w:hint="eastAsia" w:asciiTheme="minorEastAsia" w:hAnsiTheme="minorEastAsia" w:eastAsiaTheme="minorEastAsia" w:cstheme="minorEastAsia"/>
          <w:color w:val="auto"/>
          <w:kern w:val="0"/>
          <w:sz w:val="24"/>
          <w:szCs w:val="28"/>
          <w:highlight w:val="none"/>
        </w:rPr>
      </w:pPr>
    </w:p>
    <w:p>
      <w:pPr>
        <w:ind w:firstLine="482"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第二部分 技术部分</w:t>
      </w:r>
    </w:p>
    <w:p>
      <w:pPr>
        <w:ind w:firstLine="643" w:firstLineChars="200"/>
        <w:jc w:val="center"/>
        <w:rPr>
          <w:rFonts w:hint="eastAsia" w:asciiTheme="minorEastAsia" w:hAnsiTheme="minorEastAsia" w:eastAsiaTheme="minorEastAsia" w:cstheme="minorEastAsia"/>
          <w:b/>
          <w:color w:val="auto"/>
          <w:kern w:val="0"/>
          <w:sz w:val="32"/>
          <w:szCs w:val="32"/>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一、施工组织方案、设计方案（格式自拟）</w:t>
      </w: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2"/>
        <w:tblW w:w="9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94"/>
        <w:gridCol w:w="2986"/>
        <w:gridCol w:w="1652"/>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品目号</w:t>
            </w: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服务名称</w:t>
            </w: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技术服务需求及要求</w:t>
            </w: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响应情况</w:t>
            </w: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说明：（1）</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应按项目采购需求中的技术服务需求及要求，结合自身</w:t>
      </w:r>
      <w:r>
        <w:rPr>
          <w:rFonts w:hint="eastAsia" w:asciiTheme="minorEastAsia" w:hAnsiTheme="minorEastAsia" w:eastAsiaTheme="minorEastAsia" w:cstheme="minorEastAsia"/>
          <w:color w:val="auto"/>
          <w:kern w:val="0"/>
          <w:sz w:val="24"/>
          <w:szCs w:val="28"/>
          <w:highlight w:val="none"/>
          <w:lang w:val="en-US" w:eastAsia="zh-CN"/>
        </w:rPr>
        <w:t>磋商</w:t>
      </w:r>
      <w:r>
        <w:rPr>
          <w:rFonts w:hint="eastAsia" w:asciiTheme="minorEastAsia" w:hAnsiTheme="minorEastAsia" w:eastAsiaTheme="minorEastAsia" w:cstheme="minorEastAsia"/>
          <w:color w:val="auto"/>
          <w:kern w:val="0"/>
          <w:sz w:val="24"/>
          <w:szCs w:val="28"/>
          <w:highlight w:val="none"/>
        </w:rPr>
        <w:t>情况对技术</w:t>
      </w:r>
      <w:r>
        <w:rPr>
          <w:rFonts w:hint="eastAsia" w:asciiTheme="minorEastAsia" w:hAnsiTheme="minorEastAsia" w:eastAsiaTheme="minorEastAsia" w:cstheme="minorEastAsia"/>
          <w:color w:val="auto"/>
          <w:kern w:val="0"/>
          <w:sz w:val="24"/>
          <w:szCs w:val="28"/>
          <w:highlight w:val="none"/>
          <w:lang w:val="en-US" w:eastAsia="zh-CN"/>
        </w:rPr>
        <w:t>服务需</w:t>
      </w:r>
      <w:r>
        <w:rPr>
          <w:rFonts w:hint="eastAsia" w:asciiTheme="minorEastAsia" w:hAnsiTheme="minorEastAsia" w:eastAsiaTheme="minorEastAsia" w:cstheme="minorEastAsia"/>
          <w:color w:val="auto"/>
          <w:kern w:val="0"/>
          <w:sz w:val="24"/>
          <w:szCs w:val="28"/>
          <w:highlight w:val="none"/>
        </w:rPr>
        <w:t>求条款逐条响应。（2）当</w:t>
      </w:r>
      <w:r>
        <w:rPr>
          <w:rFonts w:hint="eastAsia" w:asciiTheme="minorEastAsia" w:hAnsiTheme="minorEastAsia" w:eastAsiaTheme="minorEastAsia" w:cstheme="minorEastAsia"/>
          <w:color w:val="auto"/>
          <w:kern w:val="0"/>
          <w:sz w:val="24"/>
          <w:szCs w:val="28"/>
          <w:highlight w:val="none"/>
          <w:lang w:val="en-US" w:eastAsia="zh-CN"/>
        </w:rPr>
        <w:t>响应</w:t>
      </w:r>
      <w:r>
        <w:rPr>
          <w:rFonts w:hint="eastAsia" w:asciiTheme="minorEastAsia" w:hAnsiTheme="minorEastAsia" w:eastAsiaTheme="minorEastAsia" w:cstheme="minorEastAsia"/>
          <w:color w:val="auto"/>
          <w:kern w:val="0"/>
          <w:sz w:val="24"/>
          <w:szCs w:val="28"/>
          <w:highlight w:val="none"/>
        </w:rPr>
        <w:t>文件响应的技术</w:t>
      </w:r>
      <w:r>
        <w:rPr>
          <w:rFonts w:hint="eastAsia" w:asciiTheme="minorEastAsia" w:hAnsiTheme="minorEastAsia" w:eastAsiaTheme="minorEastAsia" w:cstheme="minorEastAsia"/>
          <w:color w:val="auto"/>
          <w:kern w:val="0"/>
          <w:sz w:val="24"/>
          <w:szCs w:val="28"/>
          <w:highlight w:val="none"/>
          <w:lang w:val="en-US" w:eastAsia="zh-CN"/>
        </w:rPr>
        <w:t>服务</w:t>
      </w:r>
      <w:r>
        <w:rPr>
          <w:rFonts w:hint="eastAsia" w:asciiTheme="minorEastAsia" w:hAnsiTheme="minorEastAsia" w:eastAsiaTheme="minorEastAsia" w:cstheme="minorEastAsia"/>
          <w:color w:val="auto"/>
          <w:kern w:val="0"/>
          <w:sz w:val="24"/>
          <w:szCs w:val="28"/>
          <w:highlight w:val="none"/>
        </w:rPr>
        <w:t>需求条款完全响应</w:t>
      </w:r>
      <w:r>
        <w:rPr>
          <w:rFonts w:hint="eastAsia" w:asciiTheme="minorEastAsia" w:hAnsiTheme="minorEastAsia" w:eastAsiaTheme="minorEastAsia" w:cstheme="minorEastAsia"/>
          <w:color w:val="auto"/>
          <w:kern w:val="0"/>
          <w:sz w:val="24"/>
          <w:szCs w:val="28"/>
          <w:highlight w:val="none"/>
          <w:lang w:val="en-US" w:eastAsia="zh-CN"/>
        </w:rPr>
        <w:t>采购</w:t>
      </w:r>
      <w:r>
        <w:rPr>
          <w:rFonts w:hint="eastAsia" w:asciiTheme="minorEastAsia" w:hAnsiTheme="minorEastAsia" w:eastAsiaTheme="minorEastAsia" w:cstheme="minorEastAsia"/>
          <w:color w:val="auto"/>
          <w:kern w:val="0"/>
          <w:sz w:val="24"/>
          <w:szCs w:val="28"/>
          <w:highlight w:val="none"/>
        </w:rPr>
        <w:t>文件要求时，</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应注明“无偏离”；低于</w:t>
      </w:r>
      <w:r>
        <w:rPr>
          <w:rFonts w:hint="eastAsia" w:asciiTheme="minorEastAsia" w:hAnsiTheme="minorEastAsia" w:eastAsiaTheme="minorEastAsia" w:cstheme="minorEastAsia"/>
          <w:color w:val="auto"/>
          <w:kern w:val="0"/>
          <w:sz w:val="24"/>
          <w:szCs w:val="28"/>
          <w:highlight w:val="none"/>
          <w:lang w:val="en-US" w:eastAsia="zh-CN"/>
        </w:rPr>
        <w:t>采购</w:t>
      </w:r>
      <w:r>
        <w:rPr>
          <w:rFonts w:hint="eastAsia" w:asciiTheme="minorEastAsia" w:hAnsiTheme="minorEastAsia" w:eastAsiaTheme="minorEastAsia" w:cstheme="minorEastAsia"/>
          <w:color w:val="auto"/>
          <w:kern w:val="0"/>
          <w:sz w:val="24"/>
          <w:szCs w:val="28"/>
          <w:highlight w:val="none"/>
        </w:rPr>
        <w:t>文件要求时，应注明“负偏离”；优于</w:t>
      </w:r>
      <w:r>
        <w:rPr>
          <w:rFonts w:hint="eastAsia" w:asciiTheme="minorEastAsia" w:hAnsiTheme="minorEastAsia" w:eastAsiaTheme="minorEastAsia" w:cstheme="minorEastAsia"/>
          <w:color w:val="auto"/>
          <w:kern w:val="0"/>
          <w:sz w:val="24"/>
          <w:szCs w:val="28"/>
          <w:highlight w:val="none"/>
          <w:lang w:val="en-US" w:eastAsia="zh-CN"/>
        </w:rPr>
        <w:t>采购</w:t>
      </w:r>
      <w:r>
        <w:rPr>
          <w:rFonts w:hint="eastAsia" w:asciiTheme="minorEastAsia" w:hAnsiTheme="minorEastAsia" w:eastAsiaTheme="minorEastAsia" w:cstheme="minorEastAsia"/>
          <w:color w:val="auto"/>
          <w:kern w:val="0"/>
          <w:sz w:val="24"/>
          <w:szCs w:val="28"/>
          <w:highlight w:val="none"/>
        </w:rPr>
        <w:t>文件要求的，应注明“正偏离”。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服务承诺（应包含售后服务承诺）</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（正文内容自拟）</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p>
      <w:pPr>
        <w:pStyle w:val="20"/>
        <w:ind w:firstLine="562" w:firstLineChars="200"/>
        <w:jc w:val="center"/>
        <w:rPr>
          <w:rFonts w:ascii="MingLiU_HKSCS" w:hAnsi="MingLiU_HKSCS" w:eastAsia="MingLiU_HKSCS" w:cs="Times New Roman"/>
          <w:color w:val="auto"/>
          <w:highlight w:val="none"/>
        </w:rPr>
      </w:pPr>
      <w:r>
        <w:rPr>
          <w:rFonts w:hint="eastAsia" w:hAnsi="宋体" w:cs="Calibri"/>
          <w:b/>
          <w:color w:val="auto"/>
          <w:sz w:val="28"/>
          <w:szCs w:val="22"/>
          <w:highlight w:val="none"/>
        </w:rPr>
        <w:t>用于本项目人员简历表</w:t>
      </w:r>
    </w:p>
    <w:tbl>
      <w:tblPr>
        <w:tblStyle w:val="42"/>
        <w:tblW w:w="9618" w:type="dxa"/>
        <w:tblInd w:w="0" w:type="dxa"/>
        <w:tblLayout w:type="fixed"/>
        <w:tblCellMar>
          <w:top w:w="0" w:type="dxa"/>
          <w:left w:w="108" w:type="dxa"/>
          <w:bottom w:w="0" w:type="dxa"/>
          <w:right w:w="108" w:type="dxa"/>
        </w:tblCellMar>
      </w:tblPr>
      <w:tblGrid>
        <w:gridCol w:w="501"/>
        <w:gridCol w:w="866"/>
        <w:gridCol w:w="865"/>
        <w:gridCol w:w="816"/>
        <w:gridCol w:w="840"/>
        <w:gridCol w:w="1260"/>
        <w:gridCol w:w="1260"/>
        <w:gridCol w:w="1440"/>
        <w:gridCol w:w="1770"/>
      </w:tblGrid>
      <w:tr>
        <w:tblPrEx>
          <w:tblLayout w:type="fixed"/>
          <w:tblCellMar>
            <w:top w:w="0" w:type="dxa"/>
            <w:left w:w="108" w:type="dxa"/>
            <w:bottom w:w="0" w:type="dxa"/>
            <w:right w:w="108" w:type="dxa"/>
          </w:tblCellMar>
        </w:tblPrEx>
        <w:trPr>
          <w:trHeight w:val="1027" w:hRule="atLeast"/>
        </w:trPr>
        <w:tc>
          <w:tcPr>
            <w:tcW w:w="501" w:type="dxa"/>
            <w:tcBorders>
              <w:top w:val="single" w:color="auto" w:sz="4"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序号</w:t>
            </w:r>
          </w:p>
        </w:tc>
        <w:tc>
          <w:tcPr>
            <w:tcW w:w="866" w:type="dxa"/>
            <w:tcBorders>
              <w:top w:val="single" w:color="auto" w:sz="4"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姓名</w:t>
            </w:r>
          </w:p>
        </w:tc>
        <w:tc>
          <w:tcPr>
            <w:tcW w:w="865" w:type="dxa"/>
            <w:tcBorders>
              <w:top w:val="single" w:color="auto" w:sz="4"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年龄</w:t>
            </w:r>
          </w:p>
        </w:tc>
        <w:tc>
          <w:tcPr>
            <w:tcW w:w="816" w:type="dxa"/>
            <w:tcBorders>
              <w:top w:val="single" w:color="auto" w:sz="4"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学历</w:t>
            </w:r>
          </w:p>
        </w:tc>
        <w:tc>
          <w:tcPr>
            <w:tcW w:w="840" w:type="dxa"/>
            <w:tcBorders>
              <w:top w:val="single" w:color="auto" w:sz="4"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专业及职称</w:t>
            </w:r>
          </w:p>
        </w:tc>
        <w:tc>
          <w:tcPr>
            <w:tcW w:w="1260" w:type="dxa"/>
            <w:tcBorders>
              <w:top w:val="single" w:color="auto" w:sz="4"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持何种资格证书</w:t>
            </w:r>
            <w:r>
              <w:rPr>
                <w:rFonts w:hint="eastAsia" w:ascii="宋体" w:hAnsi="宋体"/>
                <w:color w:val="auto"/>
                <w:kern w:val="0"/>
                <w:sz w:val="28"/>
                <w:highlight w:val="none"/>
              </w:rPr>
              <w:t>（证书号）</w:t>
            </w:r>
          </w:p>
        </w:tc>
        <w:tc>
          <w:tcPr>
            <w:tcW w:w="1260" w:type="dxa"/>
            <w:tcBorders>
              <w:top w:val="single" w:color="auto" w:sz="4"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从事本工作时间</w:t>
            </w:r>
          </w:p>
        </w:tc>
        <w:tc>
          <w:tcPr>
            <w:tcW w:w="1440" w:type="dxa"/>
            <w:tcBorders>
              <w:top w:val="single" w:color="auto" w:sz="4"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highlight w:val="none"/>
              </w:rPr>
              <w:t>近X年来承担类似项目名称</w:t>
            </w:r>
          </w:p>
        </w:tc>
        <w:tc>
          <w:tcPr>
            <w:tcW w:w="1770" w:type="dxa"/>
            <w:tcBorders>
              <w:top w:val="single" w:color="auto" w:sz="4"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highlight w:val="none"/>
              </w:rPr>
            </w:pPr>
            <w:r>
              <w:rPr>
                <w:rFonts w:hint="eastAsia" w:ascii="宋体" w:hAnsi="宋体"/>
                <w:color w:val="auto"/>
                <w:kern w:val="0"/>
                <w:sz w:val="28"/>
                <w:szCs w:val="22"/>
                <w:highlight w:val="none"/>
              </w:rPr>
              <w:t>本项目拟任职务</w:t>
            </w:r>
          </w:p>
        </w:tc>
      </w:tr>
      <w:tr>
        <w:tblPrEx>
          <w:tblLayout w:type="fixed"/>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05"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4" w:space="0"/>
              <w:right w:val="single" w:color="auto" w:sz="6"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4" w:space="0"/>
              <w:right w:val="single" w:color="auto" w:sz="4" w:space="0"/>
            </w:tcBorders>
            <w:noWrap w:val="0"/>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4" w:space="0"/>
              <w:right w:val="single" w:color="auto" w:sz="4" w:space="0"/>
            </w:tcBorders>
            <w:noWrap w:val="0"/>
            <w:vAlign w:val="top"/>
          </w:tcPr>
          <w:p>
            <w:pPr>
              <w:spacing w:before="50" w:after="50" w:line="420" w:lineRule="exact"/>
              <w:jc w:val="center"/>
              <w:rPr>
                <w:rFonts w:hint="eastAsia" w:ascii="宋体" w:hAnsi="宋体"/>
                <w:color w:val="auto"/>
                <w:kern w:val="0"/>
                <w:sz w:val="28"/>
                <w:highlight w:val="none"/>
              </w:rPr>
            </w:pPr>
          </w:p>
        </w:tc>
      </w:tr>
    </w:tbl>
    <w:p>
      <w:pPr>
        <w:pStyle w:val="20"/>
        <w:ind w:firstLine="400" w:firstLineChars="200"/>
        <w:rPr>
          <w:rFonts w:ascii="Times New Roman" w:hAnsi="Times New Roman" w:cs="Times New Roman"/>
          <w:color w:val="auto"/>
          <w:highlight w:val="none"/>
        </w:rPr>
      </w:pPr>
    </w:p>
    <w:p>
      <w:pPr>
        <w:pStyle w:val="2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注：需提供本项目投入</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毕业证书</w:t>
      </w:r>
      <w:r>
        <w:rPr>
          <w:rFonts w:hint="eastAsia" w:asciiTheme="minorEastAsia" w:hAnsiTheme="minorEastAsia" w:eastAsiaTheme="minorEastAsia" w:cstheme="minorEastAsia"/>
          <w:color w:val="auto"/>
          <w:sz w:val="21"/>
          <w:szCs w:val="21"/>
          <w:highlight w:val="none"/>
          <w:lang w:eastAsia="zh-CN"/>
        </w:rPr>
        <w:t>（含专业）、</w:t>
      </w:r>
      <w:r>
        <w:rPr>
          <w:rFonts w:hint="eastAsia" w:asciiTheme="minorEastAsia" w:hAnsiTheme="minorEastAsia" w:eastAsiaTheme="minorEastAsia" w:cstheme="minorEastAsia"/>
          <w:color w:val="auto"/>
          <w:sz w:val="21"/>
          <w:szCs w:val="21"/>
          <w:highlight w:val="none"/>
        </w:rPr>
        <w:t>职称证书、资格证书</w:t>
      </w:r>
      <w:r>
        <w:rPr>
          <w:rFonts w:hint="eastAsia" w:asciiTheme="minorEastAsia" w:hAnsiTheme="minorEastAsia" w:eastAsiaTheme="minorEastAsia" w:cstheme="minorEastAsia"/>
          <w:color w:val="auto"/>
          <w:sz w:val="21"/>
          <w:szCs w:val="21"/>
          <w:highlight w:val="none"/>
          <w:lang w:eastAsia="zh-CN"/>
        </w:rPr>
        <w:t>或其他</w:t>
      </w:r>
      <w:r>
        <w:rPr>
          <w:rFonts w:hint="eastAsia" w:asciiTheme="minorEastAsia" w:hAnsiTheme="minorEastAsia" w:eastAsiaTheme="minorEastAsia" w:cstheme="minorEastAsia"/>
          <w:color w:val="auto"/>
          <w:sz w:val="21"/>
          <w:szCs w:val="21"/>
          <w:highlight w:val="none"/>
        </w:rPr>
        <w:t>相关执业证书，以及</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与项目</w:t>
      </w:r>
      <w:r>
        <w:rPr>
          <w:rFonts w:hint="eastAsia" w:asciiTheme="minorEastAsia" w:hAnsiTheme="minorEastAsia" w:eastAsiaTheme="minorEastAsia" w:cstheme="minorEastAsia"/>
          <w:color w:val="auto"/>
          <w:sz w:val="21"/>
          <w:szCs w:val="21"/>
          <w:highlight w:val="none"/>
          <w:lang w:eastAsia="zh-CN"/>
        </w:rPr>
        <w:t>投入</w:t>
      </w:r>
      <w:r>
        <w:rPr>
          <w:rFonts w:hint="eastAsia" w:asciiTheme="minorEastAsia" w:hAnsiTheme="minorEastAsia" w:eastAsiaTheme="minorEastAsia" w:cstheme="minorEastAsia"/>
          <w:color w:val="auto"/>
          <w:sz w:val="21"/>
          <w:szCs w:val="21"/>
          <w:highlight w:val="none"/>
        </w:rPr>
        <w:t>人员签署的有效劳动合同复印件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合同须体现相关工作内容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等证明材料；相关工作经验可提供人员参与类似项目名称、在该项目中担任的工作等工作履历。以上材料均需加盖公章（</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如能够在线查询的材料，请提供查询网址链接，可以不用同时提供纸质材料）。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五、磋商标的物符合磋商文件规定的证明文件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(示例略)</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备注：提供第二章“磋商须知前附表”和第六章“项目采购需求”要求(包括磋商标的物的强制性认证、注册等)的证明材料复印件。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jc w:val="center"/>
        <w:outlineLvl w:val="0"/>
        <w:rPr>
          <w:rFonts w:hint="eastAsia" w:ascii="Times New Roman" w:hAnsi="Times New Roman" w:cs="Courier New"/>
          <w:b/>
          <w:color w:val="auto"/>
          <w:sz w:val="28"/>
          <w:highlight w:val="none"/>
        </w:rPr>
      </w:pPr>
      <w:r>
        <w:rPr>
          <w:rFonts w:hint="eastAsia" w:asciiTheme="minorEastAsia" w:hAnsiTheme="minorEastAsia" w:eastAsiaTheme="minorEastAsia" w:cstheme="minorEastAsia"/>
          <w:color w:val="auto"/>
          <w:sz w:val="28"/>
          <w:szCs w:val="28"/>
          <w:highlight w:val="none"/>
        </w:rPr>
        <w:br w:type="page"/>
      </w:r>
      <w:bookmarkStart w:id="44" w:name="_Toc30243"/>
      <w:bookmarkStart w:id="45" w:name="_Toc17978"/>
      <w:r>
        <w:rPr>
          <w:rFonts w:hint="eastAsia" w:ascii="Times New Roman" w:hAnsi="Times New Roman" w:cs="Courier New"/>
          <w:b/>
          <w:color w:val="auto"/>
          <w:sz w:val="28"/>
          <w:highlight w:val="none"/>
        </w:rPr>
        <w:t>第二部分　技术部分</w:t>
      </w:r>
      <w:bookmarkEnd w:id="44"/>
    </w:p>
    <w:p>
      <w:pPr>
        <w:spacing w:line="360" w:lineRule="auto"/>
        <w:jc w:val="center"/>
        <w:outlineLvl w:val="0"/>
        <w:rPr>
          <w:rFonts w:hint="eastAsia" w:ascii="Times New Roman" w:hAnsi="Times New Roman" w:cs="Courier New"/>
          <w:b/>
          <w:color w:val="auto"/>
          <w:sz w:val="28"/>
          <w:highlight w:val="none"/>
        </w:rPr>
      </w:pP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第六章 项目采购需求</w:t>
      </w:r>
      <w:bookmarkEnd w:id="45"/>
    </w:p>
    <w:p>
      <w:pPr>
        <w:spacing w:line="360" w:lineRule="auto"/>
        <w:ind w:firstLine="413" w:firstLineChars="196"/>
        <w:rPr>
          <w:rFonts w:hint="eastAsia" w:asciiTheme="minorEastAsia" w:hAnsiTheme="minorEastAsia" w:eastAsiaTheme="minorEastAsia" w:cstheme="minorEastAsia"/>
          <w:b/>
          <w:bCs/>
          <w:color w:val="auto"/>
          <w:szCs w:val="21"/>
          <w:highlight w:val="none"/>
        </w:rPr>
      </w:pPr>
      <w:bookmarkStart w:id="46" w:name="_Toc457576272"/>
    </w:p>
    <w:p>
      <w:pPr>
        <w:spacing w:line="360" w:lineRule="auto"/>
        <w:ind w:firstLine="630" w:firstLineChars="196"/>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第一节  </w:t>
      </w:r>
      <w:r>
        <w:rPr>
          <w:rFonts w:hint="eastAsia" w:asciiTheme="minorEastAsia" w:hAnsiTheme="minorEastAsia" w:eastAsiaTheme="minorEastAsia" w:cstheme="minorEastAsia"/>
          <w:b/>
          <w:bCs/>
          <w:color w:val="auto"/>
          <w:sz w:val="32"/>
          <w:szCs w:val="32"/>
          <w:highlight w:val="none"/>
        </w:rPr>
        <w:t>技术服务需求及要求</w:t>
      </w:r>
    </w:p>
    <w:bookmarkEnd w:id="46"/>
    <w:tbl>
      <w:tblPr>
        <w:tblStyle w:val="42"/>
        <w:tblW w:w="9465"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40"/>
        <w:gridCol w:w="705"/>
        <w:gridCol w:w="6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品目号</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服务名称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★技术服务需求及要求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项目制作时间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2022年6月至2023年5月。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项目需求</w:t>
            </w:r>
          </w:p>
        </w:tc>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（一）制作税收视频微课。采购年度内根据税收宣传工作要求，制作政策解读专题课程视频。</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（二）制作税收宣传短视频。采购年度内根据税收宣传工作要求制作税收宣传短视频。</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（三）视频、图片素材采集。纪实性实景拍摄，要求多角度全方位展现税务活动实况、办税环境、办税设施设备等，以便用于组织制作相应的税务宣传和存档记录。</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（四）制作创新争优宣传片。采购年度内制作创先争优形象宣传片。</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（五）制作要求。</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1.主题鲜明：作品画面展现要紧扣文案主题，内容符合主流健康向上的价值观，无色情、暴力、血腥等不良内容，遵守国家法律法规和民族习俗，杜绝出现违反国家法令法规的影像内容。</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2.内容准确：符合宣传课程设计思路，与课件紧密结合相互匹配；课程表述内容准确无误，无重大错误；内容完整、逻辑严谨、层次清楚，不能出现无关内容；文件引用准确有效。</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3.设计合理：产品框架合理完整，具有层次性和连贯性；针对性强、目标明晰，重点突出，详略得当；环节完整，多课时课程在内容讲解、教学环节设计上分课时的概念明显。</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4.画面美观：背景简洁、美观、清新、大方，适合教学需求；版面设计和谐美观，布局合理，内容紧扣主题且相互连通；文字字体大小适宜，排版整齐。色彩与背景搭配合理协调，风格统一。</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5.素材引用：作品中引用以下但不限于的其他影像、音乐、录音谈话、绘画、写作、手稿和动画、设计作品等非自创素材的，须合法取得。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技术指标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（一)视频制作</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1.录制场地：录制场地由需求方提供。中标方负责场景搭建、提供专业的录音、录像、照明灯具等必要的设备。</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2.录制方式及设备：  </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拍摄方式：根据课程内容，可采用多机位拍摄（2机位以上），机位设置应满足完整记录全部教学活动的要求。</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录像设备：摄像机要求不低于专业级数字设备，应使用高清数字设备，在同一门课程中标清和高清设备不得混用。</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录音设备：使用专业级话筒，保证发言的录音质量。</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后期制作设备：使用相应的非线性编辑系统。确保画面清晰、色调明朗、节奏顺畅、视觉效果突出。</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多媒体课件的制作及录制：在录制前应对授课过程中使用的多媒体课件（PPT、音视频、动画等）认真检查，确保内容无误，排版格式规范，版面简洁清晰，符合拍摄要求。拍摄时应针对需求方的要求和实际情况选择适当的拍摄方式，与后期制作统筹策划，确保成片中的多媒体演示及课件展示完整、清晰。</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政策宣传视频制作要求</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画面播放流畅，播放时间符合制作要求。音效与主题风格一致，具有艺术表现力，画面美观，色彩和谐。设计思路清晰，主题明确，内容结构完整。</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(二）技术指标</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1.视频信号源：</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稳定性，全片图像同步性能稳定，无失步现象，CTL同步控制信号必须连续：图像无抖动跳跃，色彩无突变，编辑点处图像稳定。</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信噪比：图像信噪比不低于55dB，无明显杂波。</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色调：白平衡正确，无明显偏色，多机拍摄的镜头衔接处无明显色差。</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视频电平：视频全讯号幅度为1Ⅴp-p，最大不超过1.1Ⅴp-p。其中，消隐电平为0V时，白电平幅度0.7Ⅴp-p，同步信号-0.3V，色同步信号幅度0.3Vp-p(以消隐线上下对称)，全片一致。</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2.音频信号源：</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声道配置：中文内容音频信号记录于第1声道，音乐、音效、同期声记录于第2声道，若有其他文字解说记录于第3声道（如录音设备无第3声道,则录于第2声道）。</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电平指标：-2db—-8db声音应无明显失真、放音过冲、过弱。</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音频信噪比不低于48db。声音和画面要求同步，无交流声或其他杂音等缺陷。伴音清晰、饱满、圆润，无失真、噪声杂音干扰、音量忽大忽小现象。解说声与现场声无明显比例失调，解说声与背景音乐无明显比例失调。</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3.视、音频文件压缩格式</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视频压缩格式及技术参数：视频压缩采用H.264格式编码。动态码流的最高码率不高于2000Kbps，最低码率不得低于1024Kbps。视频分辨率：采用高清16:9拍摄，分辩率设定为1920×1080；在同一课程中视频分辨率应统一，不得标清和高清混用。视频帧率不低于25帧/秒，扫描方式采用逐行扫描。</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音频压缩格式及技术参数：音频压缩采用H.264格式编码；采样率48KHz；音频码流率128Kbps(恒定)；双声道，做混音处理。</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4.产品形式：成片统一采用单一视频形式，封装格式采用MP4格式封装。</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5.纪实类图片摄影素材形式：成片要求色调统一、不失真。焦点准确不虚焦，构图符合大众审美。分辨率不得低于1920×1080，单张图片大小不低于2M，横幅竖幅不限，输出图片为JPEG/JPG格式。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质量要求</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1项</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（一）需严格按照需求方确认的方案进行工作。为需求方提供优质的服务，保障服务质量。</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（二）在制作过程中按照合同规定进行，其它事宜双方协商。</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（三）作品要求全高清影像制作，要求画面充实、清晰，色调统一、协调。</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（四）需按照采购人要求在拍摄地点投入拍摄，全部内容在签订合同后30日内完成（具体项目可于项目合同中约定），成交人如无法按照采购人要求进行拍摄的，则终止采购合同，并赔偿相关损失。</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（五）视频脚本应向社会公众公开征集，由需求方确定后再进入制作流程。相关视频制作完成之后，由需求方选择相关平台进行连续播出。</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所有视频制作的技术指标必须满足网络及电视播出的技术要求。视频：画面清晰；播放连贯，过程中无中断现象；不出现弹出网页或广告等信息；不出现结束突然或播放不完整、声音与画面不同步；语言表达不标准，包括发音不标准，表述不专业等现象。动画：画面清晰，不出现无效画面；环节设计合理有效。音频：声音清晰；无杂音或无关内容，播放连贯完整。</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（七）所有视频、图片的工程文件要求保留完整并移交给需求方，不得随意篡改需求方提供的原始素材，项目完成后一并交回。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产品交付</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项</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项目验收合格后成交</w:t>
            </w:r>
            <w:r>
              <w:rPr>
                <w:rFonts w:hint="eastAsia" w:asciiTheme="minorEastAsia" w:hAnsiTheme="minorEastAsia" w:eastAsia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应将策划文案、摄影全部素材、工程文件、母带、可供电视台及主流设备播放的各类格式文件、相关电子文档等拷贝2套光盘或移动硬盘交付采购人。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版权要求</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1项</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20" w:firstLineChars="200"/>
              <w:jc w:val="left"/>
              <w:rPr>
                <w:rFonts w:hint="eastAsia"/>
                <w:color w:val="auto"/>
                <w:highlight w:val="none"/>
                <w:lang w:val="en-US" w:eastAsia="zh-CN"/>
              </w:rPr>
            </w:pPr>
            <w:r>
              <w:rPr>
                <w:rFonts w:hint="eastAsia"/>
                <w:color w:val="auto"/>
                <w:highlight w:val="none"/>
                <w:lang w:val="en-US" w:eastAsia="zh-CN"/>
              </w:rPr>
              <w:t>所有视频、动画以及与之相关的音乐、包装、字幕、图片等须有完全的知识产权、或有使用版权的授权许可，并以文字形式确认（单位盖章）。所有素材和最终成品版权均为采购人所有。</w:t>
            </w:r>
          </w:p>
        </w:tc>
      </w:tr>
    </w:tbl>
    <w:p>
      <w:pPr>
        <w:numPr>
          <w:ilvl w:val="0"/>
          <w:numId w:val="0"/>
        </w:numPr>
        <w:spacing w:line="360" w:lineRule="auto"/>
        <w:jc w:val="both"/>
        <w:rPr>
          <w:rFonts w:hint="eastAsia" w:asciiTheme="minorEastAsia" w:hAnsiTheme="minorEastAsia" w:eastAsiaTheme="minorEastAsia" w:cstheme="minorEastAsia"/>
          <w:b/>
          <w:bCs/>
          <w:color w:val="auto"/>
          <w:kern w:val="0"/>
          <w:sz w:val="30"/>
          <w:szCs w:val="30"/>
          <w:highlight w:val="none"/>
        </w:rPr>
      </w:pPr>
    </w:p>
    <w:p>
      <w:pPr>
        <w:pStyle w:val="8"/>
        <w:rPr>
          <w:rFonts w:hint="eastAsia" w:asciiTheme="minorEastAsia" w:hAnsiTheme="minorEastAsia" w:eastAsiaTheme="minorEastAsia" w:cstheme="minorEastAsia"/>
          <w:b/>
          <w:bCs/>
          <w:color w:val="auto"/>
          <w:kern w:val="0"/>
          <w:sz w:val="30"/>
          <w:szCs w:val="30"/>
          <w:highlight w:val="none"/>
        </w:rPr>
      </w:pPr>
    </w:p>
    <w:p>
      <w:pPr>
        <w:numPr>
          <w:ilvl w:val="0"/>
          <w:numId w:val="5"/>
        </w:numPr>
        <w:spacing w:line="360" w:lineRule="auto"/>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lang w:val="en-US" w:eastAsia="zh-CN"/>
        </w:rPr>
        <w:t xml:space="preserve"> </w:t>
      </w:r>
      <w:r>
        <w:rPr>
          <w:rFonts w:hint="eastAsia" w:asciiTheme="minorEastAsia" w:hAnsiTheme="minorEastAsia" w:eastAsiaTheme="minorEastAsia" w:cstheme="minorEastAsia"/>
          <w:b/>
          <w:bCs/>
          <w:color w:val="auto"/>
          <w:kern w:val="0"/>
          <w:sz w:val="30"/>
          <w:szCs w:val="30"/>
          <w:highlight w:val="none"/>
        </w:rPr>
        <w:t>商务条款</w:t>
      </w:r>
    </w:p>
    <w:p>
      <w:pPr>
        <w:pStyle w:val="8"/>
        <w:numPr>
          <w:ilvl w:val="0"/>
          <w:numId w:val="0"/>
        </w:numPr>
        <w:rPr>
          <w:rFonts w:hint="eastAsia"/>
          <w:color w:val="auto"/>
          <w:highlight w:val="none"/>
        </w:rPr>
      </w:pPr>
    </w:p>
    <w:tbl>
      <w:tblPr>
        <w:tblStyle w:val="42"/>
        <w:tblW w:w="9589"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1839"/>
        <w:gridCol w:w="7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序号</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条目号</w:t>
            </w:r>
          </w:p>
        </w:tc>
        <w:tc>
          <w:tcPr>
            <w:tcW w:w="706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商务条款内容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rPr>
              <w:t>合同签订日期</w:t>
            </w:r>
          </w:p>
        </w:tc>
        <w:tc>
          <w:tcPr>
            <w:tcW w:w="70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Theme="minorEastAsia" w:hAnsiTheme="minorEastAsia" w:eastAsiaTheme="minorEastAsia" w:cstheme="minorEastAsia"/>
                <w:color w:val="auto"/>
                <w:sz w:val="21"/>
                <w:szCs w:val="21"/>
                <w:highlight w:val="none"/>
              </w:rPr>
            </w:pPr>
            <w:r>
              <w:rPr>
                <w:rFonts w:hint="eastAsia"/>
              </w:rPr>
              <w:t>自成交通知书发出之日起10个工作日内</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售后服务要求</w:t>
            </w:r>
          </w:p>
        </w:tc>
        <w:tc>
          <w:tcPr>
            <w:tcW w:w="70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rPr>
                <w:rFonts w:hint="eastAsia"/>
              </w:rPr>
              <w:t>（1）所有的视频拍摄、制作均按采购人要求进行。</w:t>
            </w:r>
          </w:p>
          <w:p>
            <w:pPr>
              <w:spacing w:line="360" w:lineRule="auto"/>
              <w:rPr>
                <w:rFonts w:hint="eastAsia"/>
              </w:rPr>
            </w:pPr>
            <w:r>
              <w:rPr>
                <w:rFonts w:hint="eastAsia"/>
              </w:rPr>
              <w:t>（2）供应商免费负责为采购人提供电话咨询。成交供应商为采购人提供技术援助电话，解答采购人在使用中遇到的问题，及时为采购人提出解决问题的建议。</w:t>
            </w:r>
          </w:p>
          <w:p>
            <w:pPr>
              <w:spacing w:line="360" w:lineRule="auto"/>
              <w:rPr>
                <w:rFonts w:hint="eastAsia"/>
              </w:rPr>
            </w:pPr>
            <w:r>
              <w:rPr>
                <w:rFonts w:hint="eastAsia"/>
              </w:rPr>
              <w:t>（3）现场响应：采购人遇到使用及技术问题，电话咨询不能解决的，成交供应商应在8小时内到达现场进行处理，确保课程正常运行。</w:t>
            </w:r>
          </w:p>
          <w:p>
            <w:pPr>
              <w:pStyle w:val="2"/>
              <w:rPr>
                <w:rFonts w:hint="eastAsia" w:eastAsiaTheme="minorEastAsia"/>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）视频制作完成后一年内为售后服务期，需求方可在一年内要求成交人负责对视频进行调整及更新修改。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提供服务的</w:t>
            </w:r>
            <w:r>
              <w:rPr>
                <w:rFonts w:hint="eastAsia"/>
              </w:rPr>
              <w:t>成果</w:t>
            </w:r>
            <w:r>
              <w:rPr>
                <w:rFonts w:hint="eastAsia" w:asciiTheme="minorEastAsia" w:hAnsiTheme="minorEastAsia" w:eastAsiaTheme="minorEastAsia" w:cstheme="minorEastAsia"/>
                <w:color w:val="auto"/>
                <w:sz w:val="21"/>
                <w:szCs w:val="21"/>
                <w:highlight w:val="none"/>
              </w:rPr>
              <w:t>时间、地点、方式、项目服务期限：</w:t>
            </w:r>
          </w:p>
        </w:tc>
        <w:tc>
          <w:tcPr>
            <w:tcW w:w="70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3.1</w:t>
            </w:r>
            <w:r>
              <w:rPr>
                <w:rFonts w:hint="eastAsia"/>
              </w:rPr>
              <w:t>提交服务成果时间：接采购人通知的约定工作期限内</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提供服务的地点：采购人指定地点。</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提供服务的方式：详见《项目采购需求》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项目服务期限：自合同签订之日起一年。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★承包方式</w:t>
            </w:r>
          </w:p>
        </w:tc>
        <w:tc>
          <w:tcPr>
            <w:tcW w:w="706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本项目采用费用包干方式建设，</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根据项目要求和现场情况，详细列明项目所需的制作费，项目通过验收等所有策划创意费、脚本撰写费、导演费、设备拍摄费、灯光费、后期制作费、三维包装费、平面设计费、光盘或U盘拷贝费、印刷费、课酬费、演员化妆费及外景拍摄差旅费、各项税费及售后服务等所有费用，如一旦成交，在项目实施中出现任何遗漏，均由成交</w:t>
            </w:r>
            <w:r>
              <w:rPr>
                <w:rFonts w:hint="eastAsia" w:asciiTheme="minorEastAsia" w:hAnsiTheme="minorEastAsia" w:eastAsia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免费提供，采购人不再支付任何费用。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报价要求</w:t>
            </w:r>
          </w:p>
        </w:tc>
        <w:tc>
          <w:tcPr>
            <w:tcW w:w="70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w:t>
            </w:r>
            <w:r>
              <w:rPr>
                <w:rFonts w:hint="eastAsia" w:asciiTheme="minorEastAsia" w:hAnsiTheme="minorEastAsia" w:eastAsiaTheme="minorEastAsia" w:cstheme="minorEastAsia"/>
                <w:color w:val="auto"/>
                <w:sz w:val="21"/>
                <w:szCs w:val="21"/>
                <w:highlight w:val="none"/>
              </w:rPr>
              <w:t>本项目采用总价包干方式，项目通过验收等所有策划创意费、脚本撰写费、导演费、设备拍摄费、灯光费、后期制作费、三维包装费、平面设计费、光盘或U盘拷贝费、印刷费、课酬费、演员化妆费及外景拍摄差旅费、各项税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售后服务</w:t>
            </w:r>
            <w:r>
              <w:rPr>
                <w:rFonts w:hint="eastAsia" w:asciiTheme="minorEastAsia" w:hAnsiTheme="minorEastAsia" w:eastAsiaTheme="minorEastAsia" w:cstheme="minorEastAsia"/>
                <w:color w:val="auto"/>
                <w:spacing w:val="-6"/>
                <w:sz w:val="21"/>
                <w:szCs w:val="21"/>
                <w:highlight w:val="none"/>
              </w:rPr>
              <w:t>及其它所有成本费用的项目包干总和</w:t>
            </w:r>
            <w:r>
              <w:rPr>
                <w:rFonts w:hint="eastAsia" w:asciiTheme="minorEastAsia" w:hAnsiTheme="minorEastAsia" w:eastAsiaTheme="minorEastAsia" w:cstheme="minorEastAsia"/>
                <w:color w:val="auto"/>
                <w:spacing w:val="-6"/>
                <w:sz w:val="21"/>
                <w:szCs w:val="21"/>
                <w:highlight w:val="none"/>
                <w:lang w:val="en-US" w:eastAsia="zh-CN"/>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供应商可自行根据自己的需要到采购单位进行实地</w:t>
            </w:r>
            <w:r>
              <w:rPr>
                <w:rFonts w:hint="eastAsia" w:asciiTheme="minorEastAsia" w:hAnsiTheme="minorEastAsia" w:eastAsiaTheme="minorEastAsia" w:cstheme="minorEastAsia"/>
                <w:color w:val="auto"/>
                <w:sz w:val="21"/>
                <w:szCs w:val="21"/>
                <w:highlight w:val="none"/>
                <w:lang w:val="en-US" w:eastAsia="zh-CN"/>
              </w:rPr>
              <w:t>勘察</w:t>
            </w:r>
            <w:r>
              <w:rPr>
                <w:rFonts w:hint="eastAsia" w:asciiTheme="minorEastAsia" w:hAnsiTheme="minorEastAsia" w:eastAsiaTheme="minorEastAsia" w:cstheme="minorEastAsia"/>
                <w:color w:val="auto"/>
                <w:sz w:val="21"/>
                <w:szCs w:val="21"/>
                <w:highlight w:val="none"/>
              </w:rPr>
              <w:t>，充分考虑优化设计后的设计制作所需的成本，作出合理的报价。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付款方式</w:t>
            </w:r>
          </w:p>
        </w:tc>
        <w:tc>
          <w:tcPr>
            <w:tcW w:w="70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采用工作目标结算方式。项目实施中双方协商制定工作目标→成交人实施并提交拍摄素材、成品→采购人验收→交付项目进度款。即在项目实施过程中，将项目拆分成不同的具体工作目标和验收单元，以采购人验收目标单元作为支付项目款项的前提条件。成交人每完成一项具体的工作目标，采购人就要开展相关验收，并结算价款。结算时按实际完成的具体目标，结合合同中的项目总价为依据结算。项目的目标拆分和验收单元等由双方协商决定。</w:t>
            </w:r>
          </w:p>
        </w:tc>
      </w:tr>
    </w:tbl>
    <w:p>
      <w:pPr>
        <w:pStyle w:val="8"/>
        <w:numPr>
          <w:ilvl w:val="0"/>
          <w:numId w:val="0"/>
        </w:numPr>
        <w:rPr>
          <w:rFonts w:hint="eastAsia"/>
          <w:color w:val="auto"/>
          <w:highlight w:val="none"/>
          <w:lang w:eastAsia="zh-CN"/>
        </w:rPr>
      </w:pPr>
    </w:p>
    <w:p>
      <w:pPr>
        <w:pStyle w:val="8"/>
        <w:numPr>
          <w:ilvl w:val="0"/>
          <w:numId w:val="0"/>
        </w:numPr>
        <w:rPr>
          <w:rFonts w:hint="eastAsia"/>
          <w:color w:val="auto"/>
          <w:highlight w:val="none"/>
          <w:lang w:eastAsia="zh-CN"/>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widowControl/>
        <w:spacing w:line="360" w:lineRule="auto"/>
        <w:ind w:firstLine="422" w:firstLineChars="200"/>
        <w:jc w:val="center"/>
        <w:rPr>
          <w:rFonts w:hint="eastAsia" w:asciiTheme="minorEastAsia" w:hAnsiTheme="minorEastAsia" w:eastAsiaTheme="minorEastAsia" w:cstheme="minorEastAsia"/>
          <w:b/>
          <w:bCs/>
          <w:color w:val="auto"/>
          <w:kern w:val="0"/>
          <w:sz w:val="21"/>
          <w:szCs w:val="21"/>
          <w:highlight w:val="none"/>
          <w:u w:val="single"/>
        </w:rPr>
      </w:pPr>
    </w:p>
    <w:p>
      <w:pPr>
        <w:pStyle w:val="8"/>
        <w:numPr>
          <w:ilvl w:val="0"/>
          <w:numId w:val="0"/>
        </w:numPr>
        <w:spacing w:line="360" w:lineRule="auto"/>
        <w:rPr>
          <w:rFonts w:hint="eastAsia"/>
          <w:color w:val="auto"/>
          <w:sz w:val="21"/>
          <w:szCs w:val="21"/>
          <w:highlight w:val="none"/>
          <w:lang w:eastAsia="zh-CN"/>
        </w:rPr>
      </w:pPr>
    </w:p>
    <w:sectPr>
      <w:headerReference r:id="rId6" w:type="first"/>
      <w:footerReference r:id="rId9" w:type="first"/>
      <w:headerReference r:id="rId5" w:type="default"/>
      <w:footerReference r:id="rId7" w:type="default"/>
      <w:footerReference r:id="rId8" w:type="even"/>
      <w:pgSz w:w="11906" w:h="16838"/>
      <w:pgMar w:top="1134" w:right="1134" w:bottom="1134" w:left="1134" w:header="680" w:footer="68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方正小标宋简体">
    <w:altName w:val="仿宋_GB2312"/>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4101" o:spid="_x0000_s4101"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v:path/>
          <v:fill on="f" focussize="0,0"/>
          <v:stroke on="f" joinstyle="miter"/>
          <v:imagedata o:title=""/>
          <o:lock v:ext="edit"/>
          <v:textbox inset="0mm,0mm,0mm,0mm">
            <w:txbxContent>
              <w:p>
                <w:pPr>
                  <w:pStyle w:val="25"/>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D5E7B"/>
    <w:multiLevelType w:val="singleLevel"/>
    <w:tmpl w:val="CECD5E7B"/>
    <w:lvl w:ilvl="0" w:tentative="0">
      <w:start w:val="2"/>
      <w:numFmt w:val="decimal"/>
      <w:lvlText w:val="%1."/>
      <w:lvlJc w:val="left"/>
      <w:pPr>
        <w:tabs>
          <w:tab w:val="left" w:pos="312"/>
        </w:tabs>
      </w:pPr>
    </w:lvl>
  </w:abstractNum>
  <w:abstractNum w:abstractNumId="1">
    <w:nsid w:val="EF890F5E"/>
    <w:multiLevelType w:val="singleLevel"/>
    <w:tmpl w:val="EF890F5E"/>
    <w:lvl w:ilvl="0" w:tentative="0">
      <w:start w:val="2"/>
      <w:numFmt w:val="decimal"/>
      <w:suff w:val="nothing"/>
      <w:lvlText w:val="%1、"/>
      <w:lvlJc w:val="left"/>
    </w:lvl>
  </w:abstractNum>
  <w:abstractNum w:abstractNumId="2">
    <w:nsid w:val="1A780221"/>
    <w:multiLevelType w:val="singleLevel"/>
    <w:tmpl w:val="1A780221"/>
    <w:lvl w:ilvl="0" w:tentative="0">
      <w:start w:val="2"/>
      <w:numFmt w:val="chineseCounting"/>
      <w:suff w:val="space"/>
      <w:lvlText w:val="第%1节"/>
      <w:lvlJc w:val="left"/>
      <w:rPr>
        <w:rFonts w:hint="eastAsia"/>
      </w:rPr>
    </w:lvl>
  </w:abstractNum>
  <w:abstractNum w:abstractNumId="3">
    <w:nsid w:val="4C0E79E8"/>
    <w:multiLevelType w:val="multilevel"/>
    <w:tmpl w:val="4C0E79E8"/>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5C29471B"/>
    <w:multiLevelType w:val="singleLevel"/>
    <w:tmpl w:val="5C29471B"/>
    <w:lvl w:ilvl="0" w:tentative="0">
      <w:start w:val="4"/>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CDA"/>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2A8"/>
    <w:rsid w:val="00393554"/>
    <w:rsid w:val="00393FFC"/>
    <w:rsid w:val="00396BEE"/>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1909"/>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0B11"/>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11C4"/>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BF7805"/>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85B"/>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1C73"/>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19"/>
    <w:rsid w:val="00FC5152"/>
    <w:rsid w:val="00FD5ADD"/>
    <w:rsid w:val="00FD7E69"/>
    <w:rsid w:val="00FE1466"/>
    <w:rsid w:val="00FE19E5"/>
    <w:rsid w:val="00FE2181"/>
    <w:rsid w:val="00FE2F65"/>
    <w:rsid w:val="00FE56F3"/>
    <w:rsid w:val="00FE5D1D"/>
    <w:rsid w:val="00FE6B9F"/>
    <w:rsid w:val="00FF5456"/>
    <w:rsid w:val="00FF7472"/>
    <w:rsid w:val="011B037A"/>
    <w:rsid w:val="01220CF5"/>
    <w:rsid w:val="012D2EC5"/>
    <w:rsid w:val="01342743"/>
    <w:rsid w:val="013A1033"/>
    <w:rsid w:val="013E7093"/>
    <w:rsid w:val="015A6263"/>
    <w:rsid w:val="01710F01"/>
    <w:rsid w:val="01866661"/>
    <w:rsid w:val="018F6336"/>
    <w:rsid w:val="01A8004E"/>
    <w:rsid w:val="01AE1F80"/>
    <w:rsid w:val="01BD0D1C"/>
    <w:rsid w:val="01BF2670"/>
    <w:rsid w:val="01C11008"/>
    <w:rsid w:val="01DA64AC"/>
    <w:rsid w:val="02107587"/>
    <w:rsid w:val="02125655"/>
    <w:rsid w:val="02281ACB"/>
    <w:rsid w:val="022D2826"/>
    <w:rsid w:val="02357877"/>
    <w:rsid w:val="023E5953"/>
    <w:rsid w:val="023F2E8C"/>
    <w:rsid w:val="0245097F"/>
    <w:rsid w:val="024A028C"/>
    <w:rsid w:val="0250145B"/>
    <w:rsid w:val="02A35ADD"/>
    <w:rsid w:val="02CA601E"/>
    <w:rsid w:val="02D32C74"/>
    <w:rsid w:val="02D84A36"/>
    <w:rsid w:val="02EC413F"/>
    <w:rsid w:val="02F93F6A"/>
    <w:rsid w:val="03000716"/>
    <w:rsid w:val="03013312"/>
    <w:rsid w:val="03173BD2"/>
    <w:rsid w:val="037F54DC"/>
    <w:rsid w:val="03831CF7"/>
    <w:rsid w:val="03A33348"/>
    <w:rsid w:val="03AF3957"/>
    <w:rsid w:val="03B447BB"/>
    <w:rsid w:val="03BD27FE"/>
    <w:rsid w:val="03C53A79"/>
    <w:rsid w:val="03DB03B6"/>
    <w:rsid w:val="03E033DF"/>
    <w:rsid w:val="03FA45DE"/>
    <w:rsid w:val="040746DF"/>
    <w:rsid w:val="04125C8B"/>
    <w:rsid w:val="04181DB0"/>
    <w:rsid w:val="041C45F0"/>
    <w:rsid w:val="042934D9"/>
    <w:rsid w:val="042D4A23"/>
    <w:rsid w:val="04400917"/>
    <w:rsid w:val="04533BE9"/>
    <w:rsid w:val="045F41F5"/>
    <w:rsid w:val="04674330"/>
    <w:rsid w:val="04713603"/>
    <w:rsid w:val="04860150"/>
    <w:rsid w:val="048B59FE"/>
    <w:rsid w:val="049931E9"/>
    <w:rsid w:val="04AD01DD"/>
    <w:rsid w:val="04AD50FB"/>
    <w:rsid w:val="04DF6E7A"/>
    <w:rsid w:val="04E92BD4"/>
    <w:rsid w:val="05357951"/>
    <w:rsid w:val="05621529"/>
    <w:rsid w:val="05C46544"/>
    <w:rsid w:val="05C63CAF"/>
    <w:rsid w:val="05EE2D3C"/>
    <w:rsid w:val="05F24075"/>
    <w:rsid w:val="06043DDA"/>
    <w:rsid w:val="06051ED1"/>
    <w:rsid w:val="061D3517"/>
    <w:rsid w:val="063B6433"/>
    <w:rsid w:val="064908D3"/>
    <w:rsid w:val="06730DCF"/>
    <w:rsid w:val="06812B4E"/>
    <w:rsid w:val="06C113BF"/>
    <w:rsid w:val="06C91889"/>
    <w:rsid w:val="06D5473A"/>
    <w:rsid w:val="06D825CD"/>
    <w:rsid w:val="06E60322"/>
    <w:rsid w:val="070E1E12"/>
    <w:rsid w:val="07122284"/>
    <w:rsid w:val="07133F9C"/>
    <w:rsid w:val="0763320F"/>
    <w:rsid w:val="07701841"/>
    <w:rsid w:val="078C0463"/>
    <w:rsid w:val="07916581"/>
    <w:rsid w:val="079C2B93"/>
    <w:rsid w:val="079D0949"/>
    <w:rsid w:val="079F3DDE"/>
    <w:rsid w:val="07B5257B"/>
    <w:rsid w:val="07CB4157"/>
    <w:rsid w:val="07CE3F3E"/>
    <w:rsid w:val="07E415FD"/>
    <w:rsid w:val="07F868FE"/>
    <w:rsid w:val="081B70E2"/>
    <w:rsid w:val="081D144E"/>
    <w:rsid w:val="08324EFA"/>
    <w:rsid w:val="083D6017"/>
    <w:rsid w:val="085E670E"/>
    <w:rsid w:val="08664722"/>
    <w:rsid w:val="08687319"/>
    <w:rsid w:val="087210F5"/>
    <w:rsid w:val="08892065"/>
    <w:rsid w:val="088B26A9"/>
    <w:rsid w:val="08AF56BC"/>
    <w:rsid w:val="08B173B3"/>
    <w:rsid w:val="08BC0BB7"/>
    <w:rsid w:val="08C30259"/>
    <w:rsid w:val="08EF105E"/>
    <w:rsid w:val="095443A2"/>
    <w:rsid w:val="0958411A"/>
    <w:rsid w:val="097A548A"/>
    <w:rsid w:val="09A06294"/>
    <w:rsid w:val="09B24A4E"/>
    <w:rsid w:val="09B64B81"/>
    <w:rsid w:val="09B84613"/>
    <w:rsid w:val="09D770A2"/>
    <w:rsid w:val="09EB241D"/>
    <w:rsid w:val="0A165BF2"/>
    <w:rsid w:val="0A1E0C0B"/>
    <w:rsid w:val="0A220758"/>
    <w:rsid w:val="0A2506C6"/>
    <w:rsid w:val="0A2F52DF"/>
    <w:rsid w:val="0A3C31BB"/>
    <w:rsid w:val="0A48003F"/>
    <w:rsid w:val="0A5646FF"/>
    <w:rsid w:val="0A613935"/>
    <w:rsid w:val="0A7B1588"/>
    <w:rsid w:val="0A8248C7"/>
    <w:rsid w:val="0AA46E30"/>
    <w:rsid w:val="0AD25578"/>
    <w:rsid w:val="0AE6579C"/>
    <w:rsid w:val="0B37192D"/>
    <w:rsid w:val="0B3C3E6E"/>
    <w:rsid w:val="0B5E54D2"/>
    <w:rsid w:val="0B6E37A2"/>
    <w:rsid w:val="0B9233BA"/>
    <w:rsid w:val="0B953549"/>
    <w:rsid w:val="0B9C4D21"/>
    <w:rsid w:val="0BA01778"/>
    <w:rsid w:val="0BA903A7"/>
    <w:rsid w:val="0BC2279B"/>
    <w:rsid w:val="0BEA23A9"/>
    <w:rsid w:val="0BF919B8"/>
    <w:rsid w:val="0C291372"/>
    <w:rsid w:val="0C2D09CA"/>
    <w:rsid w:val="0C345EE9"/>
    <w:rsid w:val="0C5E57F4"/>
    <w:rsid w:val="0C625194"/>
    <w:rsid w:val="0C6C13F0"/>
    <w:rsid w:val="0CA14EBC"/>
    <w:rsid w:val="0CB1145B"/>
    <w:rsid w:val="0CB54A80"/>
    <w:rsid w:val="0CB82A8F"/>
    <w:rsid w:val="0CCA51A5"/>
    <w:rsid w:val="0CDA1C1B"/>
    <w:rsid w:val="0CE33EBB"/>
    <w:rsid w:val="0CE80310"/>
    <w:rsid w:val="0D012E2A"/>
    <w:rsid w:val="0D093A67"/>
    <w:rsid w:val="0D1C71D4"/>
    <w:rsid w:val="0D2F2A34"/>
    <w:rsid w:val="0D7826DE"/>
    <w:rsid w:val="0D813AA8"/>
    <w:rsid w:val="0D866FC1"/>
    <w:rsid w:val="0DCE517E"/>
    <w:rsid w:val="0DCF202E"/>
    <w:rsid w:val="0E0D57FE"/>
    <w:rsid w:val="0E375D6B"/>
    <w:rsid w:val="0E4074DD"/>
    <w:rsid w:val="0E6D7980"/>
    <w:rsid w:val="0E7B7C39"/>
    <w:rsid w:val="0EA612FA"/>
    <w:rsid w:val="0EDD23BC"/>
    <w:rsid w:val="0EDF3951"/>
    <w:rsid w:val="0EF632FA"/>
    <w:rsid w:val="0F0517F9"/>
    <w:rsid w:val="0F233951"/>
    <w:rsid w:val="0F4E5291"/>
    <w:rsid w:val="0F802C2A"/>
    <w:rsid w:val="0F8D2AFB"/>
    <w:rsid w:val="0FA52275"/>
    <w:rsid w:val="0FAB1BC5"/>
    <w:rsid w:val="0FF22040"/>
    <w:rsid w:val="0FF71687"/>
    <w:rsid w:val="10073A12"/>
    <w:rsid w:val="10242995"/>
    <w:rsid w:val="10433575"/>
    <w:rsid w:val="10567490"/>
    <w:rsid w:val="107138B2"/>
    <w:rsid w:val="107E398D"/>
    <w:rsid w:val="10924860"/>
    <w:rsid w:val="109D6616"/>
    <w:rsid w:val="10B25489"/>
    <w:rsid w:val="10B77D5E"/>
    <w:rsid w:val="10C948EA"/>
    <w:rsid w:val="11013334"/>
    <w:rsid w:val="11050FAA"/>
    <w:rsid w:val="110F29EB"/>
    <w:rsid w:val="110F4001"/>
    <w:rsid w:val="11154DB3"/>
    <w:rsid w:val="1125578F"/>
    <w:rsid w:val="112C0B54"/>
    <w:rsid w:val="1142151C"/>
    <w:rsid w:val="11584547"/>
    <w:rsid w:val="118A48C8"/>
    <w:rsid w:val="11B803E3"/>
    <w:rsid w:val="11CD770F"/>
    <w:rsid w:val="11E313AE"/>
    <w:rsid w:val="121F5337"/>
    <w:rsid w:val="122C104F"/>
    <w:rsid w:val="124637B6"/>
    <w:rsid w:val="1255509A"/>
    <w:rsid w:val="12590794"/>
    <w:rsid w:val="12700445"/>
    <w:rsid w:val="12742358"/>
    <w:rsid w:val="12A3747E"/>
    <w:rsid w:val="12D270FE"/>
    <w:rsid w:val="12EF00DD"/>
    <w:rsid w:val="12F92FCD"/>
    <w:rsid w:val="130C01CB"/>
    <w:rsid w:val="13163595"/>
    <w:rsid w:val="134A3213"/>
    <w:rsid w:val="135544CB"/>
    <w:rsid w:val="137D5E19"/>
    <w:rsid w:val="137E681E"/>
    <w:rsid w:val="13A207EE"/>
    <w:rsid w:val="13B41EB7"/>
    <w:rsid w:val="13B47386"/>
    <w:rsid w:val="13CE65B5"/>
    <w:rsid w:val="13D047FA"/>
    <w:rsid w:val="13D15A57"/>
    <w:rsid w:val="140A5109"/>
    <w:rsid w:val="141111B5"/>
    <w:rsid w:val="14627B07"/>
    <w:rsid w:val="147C2498"/>
    <w:rsid w:val="147F0940"/>
    <w:rsid w:val="14815851"/>
    <w:rsid w:val="1495642C"/>
    <w:rsid w:val="14A91FC6"/>
    <w:rsid w:val="14D503D0"/>
    <w:rsid w:val="14F564FC"/>
    <w:rsid w:val="14FB7CE6"/>
    <w:rsid w:val="15026BF8"/>
    <w:rsid w:val="159A357E"/>
    <w:rsid w:val="15A379E8"/>
    <w:rsid w:val="15B3486E"/>
    <w:rsid w:val="15C852A0"/>
    <w:rsid w:val="15C86FB7"/>
    <w:rsid w:val="15D168A5"/>
    <w:rsid w:val="15D952DC"/>
    <w:rsid w:val="15DD32CF"/>
    <w:rsid w:val="15E0043C"/>
    <w:rsid w:val="15ED499E"/>
    <w:rsid w:val="16086DC5"/>
    <w:rsid w:val="1621420C"/>
    <w:rsid w:val="16241F32"/>
    <w:rsid w:val="162A0D38"/>
    <w:rsid w:val="16343121"/>
    <w:rsid w:val="163E1FB5"/>
    <w:rsid w:val="164C2546"/>
    <w:rsid w:val="1671084C"/>
    <w:rsid w:val="16812655"/>
    <w:rsid w:val="168E0D51"/>
    <w:rsid w:val="16B54C35"/>
    <w:rsid w:val="16BB2FFC"/>
    <w:rsid w:val="16F9460E"/>
    <w:rsid w:val="17006957"/>
    <w:rsid w:val="17010E58"/>
    <w:rsid w:val="170B3241"/>
    <w:rsid w:val="17177A5B"/>
    <w:rsid w:val="171D0954"/>
    <w:rsid w:val="17483CE1"/>
    <w:rsid w:val="17526B40"/>
    <w:rsid w:val="176A7D85"/>
    <w:rsid w:val="17881643"/>
    <w:rsid w:val="179A4E5D"/>
    <w:rsid w:val="17AF1E1D"/>
    <w:rsid w:val="17BE5E36"/>
    <w:rsid w:val="17EE05A8"/>
    <w:rsid w:val="17FB4E2B"/>
    <w:rsid w:val="1801232B"/>
    <w:rsid w:val="18162133"/>
    <w:rsid w:val="18246C8A"/>
    <w:rsid w:val="18274990"/>
    <w:rsid w:val="187A77EE"/>
    <w:rsid w:val="18825DCA"/>
    <w:rsid w:val="1892574E"/>
    <w:rsid w:val="1892611E"/>
    <w:rsid w:val="18A11F85"/>
    <w:rsid w:val="18A80443"/>
    <w:rsid w:val="18BB236B"/>
    <w:rsid w:val="18C10D8C"/>
    <w:rsid w:val="18D33856"/>
    <w:rsid w:val="18D340CB"/>
    <w:rsid w:val="18D44A2C"/>
    <w:rsid w:val="18E401B4"/>
    <w:rsid w:val="19233AB4"/>
    <w:rsid w:val="19515F00"/>
    <w:rsid w:val="196D03B2"/>
    <w:rsid w:val="19772B62"/>
    <w:rsid w:val="197D76F4"/>
    <w:rsid w:val="199A6F4C"/>
    <w:rsid w:val="19B36E89"/>
    <w:rsid w:val="19B9490E"/>
    <w:rsid w:val="19BD1AFC"/>
    <w:rsid w:val="19CB1816"/>
    <w:rsid w:val="19CF77AC"/>
    <w:rsid w:val="19D607CF"/>
    <w:rsid w:val="19D9534F"/>
    <w:rsid w:val="19E26478"/>
    <w:rsid w:val="19E60A93"/>
    <w:rsid w:val="19EC4058"/>
    <w:rsid w:val="1A2A2353"/>
    <w:rsid w:val="1A2A68D9"/>
    <w:rsid w:val="1A324EA9"/>
    <w:rsid w:val="1A6432A4"/>
    <w:rsid w:val="1A662FB1"/>
    <w:rsid w:val="1A6D1482"/>
    <w:rsid w:val="1A7C77D9"/>
    <w:rsid w:val="1A8D3EAA"/>
    <w:rsid w:val="1AAF090F"/>
    <w:rsid w:val="1AB84CD5"/>
    <w:rsid w:val="1AC02F34"/>
    <w:rsid w:val="1B170048"/>
    <w:rsid w:val="1B3568BA"/>
    <w:rsid w:val="1B40174C"/>
    <w:rsid w:val="1B5779D5"/>
    <w:rsid w:val="1B5F2B71"/>
    <w:rsid w:val="1B5F5BC3"/>
    <w:rsid w:val="1B662708"/>
    <w:rsid w:val="1BAC3858"/>
    <w:rsid w:val="1BCA2F34"/>
    <w:rsid w:val="1BE10F50"/>
    <w:rsid w:val="1BED5C86"/>
    <w:rsid w:val="1BF126E8"/>
    <w:rsid w:val="1C0940A8"/>
    <w:rsid w:val="1C244D2C"/>
    <w:rsid w:val="1C5C2829"/>
    <w:rsid w:val="1C5D5EA8"/>
    <w:rsid w:val="1C6110A8"/>
    <w:rsid w:val="1C6136F5"/>
    <w:rsid w:val="1C6C3E02"/>
    <w:rsid w:val="1C6C61F9"/>
    <w:rsid w:val="1C803656"/>
    <w:rsid w:val="1C904157"/>
    <w:rsid w:val="1CB652CE"/>
    <w:rsid w:val="1CCD1215"/>
    <w:rsid w:val="1CE2791E"/>
    <w:rsid w:val="1CE3453F"/>
    <w:rsid w:val="1CF850F8"/>
    <w:rsid w:val="1CF96E1F"/>
    <w:rsid w:val="1D0A14E8"/>
    <w:rsid w:val="1D1E16A9"/>
    <w:rsid w:val="1D216B79"/>
    <w:rsid w:val="1D2D14EE"/>
    <w:rsid w:val="1D3E5275"/>
    <w:rsid w:val="1D4112E5"/>
    <w:rsid w:val="1D507A9B"/>
    <w:rsid w:val="1D5231F0"/>
    <w:rsid w:val="1D5864FD"/>
    <w:rsid w:val="1D7B7EAB"/>
    <w:rsid w:val="1DA3195C"/>
    <w:rsid w:val="1DA93C5F"/>
    <w:rsid w:val="1DB12451"/>
    <w:rsid w:val="1DC04F9F"/>
    <w:rsid w:val="1DCD7E9B"/>
    <w:rsid w:val="1DE92B23"/>
    <w:rsid w:val="1E0E75D4"/>
    <w:rsid w:val="1E2D31E8"/>
    <w:rsid w:val="1E312263"/>
    <w:rsid w:val="1E3E41AE"/>
    <w:rsid w:val="1E4E48F8"/>
    <w:rsid w:val="1E5B55C8"/>
    <w:rsid w:val="1E680FDE"/>
    <w:rsid w:val="1E977324"/>
    <w:rsid w:val="1EAC1126"/>
    <w:rsid w:val="1EAD5731"/>
    <w:rsid w:val="1EB177D5"/>
    <w:rsid w:val="1ECE049B"/>
    <w:rsid w:val="1EE556AD"/>
    <w:rsid w:val="1F0B5B77"/>
    <w:rsid w:val="1F3F0D5D"/>
    <w:rsid w:val="1F693900"/>
    <w:rsid w:val="1F746F81"/>
    <w:rsid w:val="1FA013B8"/>
    <w:rsid w:val="1FC02D59"/>
    <w:rsid w:val="1FD373F4"/>
    <w:rsid w:val="1FED2B80"/>
    <w:rsid w:val="20186E6C"/>
    <w:rsid w:val="20605EE5"/>
    <w:rsid w:val="2062029C"/>
    <w:rsid w:val="206316B5"/>
    <w:rsid w:val="208A701C"/>
    <w:rsid w:val="208C5442"/>
    <w:rsid w:val="209964A2"/>
    <w:rsid w:val="20AA2037"/>
    <w:rsid w:val="20D22B9B"/>
    <w:rsid w:val="20D24964"/>
    <w:rsid w:val="20F24D7D"/>
    <w:rsid w:val="20FF0120"/>
    <w:rsid w:val="210B1554"/>
    <w:rsid w:val="21115205"/>
    <w:rsid w:val="213C6B3E"/>
    <w:rsid w:val="2144370E"/>
    <w:rsid w:val="21600F64"/>
    <w:rsid w:val="21880846"/>
    <w:rsid w:val="218C10EC"/>
    <w:rsid w:val="21A9242F"/>
    <w:rsid w:val="21C32921"/>
    <w:rsid w:val="21C45B13"/>
    <w:rsid w:val="21CC5BCB"/>
    <w:rsid w:val="2209059C"/>
    <w:rsid w:val="22254C4D"/>
    <w:rsid w:val="225C1752"/>
    <w:rsid w:val="22605614"/>
    <w:rsid w:val="22775941"/>
    <w:rsid w:val="22970399"/>
    <w:rsid w:val="22C05D59"/>
    <w:rsid w:val="22C1249B"/>
    <w:rsid w:val="22C9545A"/>
    <w:rsid w:val="22E05540"/>
    <w:rsid w:val="22FD64DF"/>
    <w:rsid w:val="230B5CEC"/>
    <w:rsid w:val="2316584E"/>
    <w:rsid w:val="232D22B0"/>
    <w:rsid w:val="232E648B"/>
    <w:rsid w:val="234D6B14"/>
    <w:rsid w:val="23516DD2"/>
    <w:rsid w:val="235E2343"/>
    <w:rsid w:val="2368614C"/>
    <w:rsid w:val="23841CBD"/>
    <w:rsid w:val="238D068C"/>
    <w:rsid w:val="23906722"/>
    <w:rsid w:val="23A06920"/>
    <w:rsid w:val="23D504C7"/>
    <w:rsid w:val="24004303"/>
    <w:rsid w:val="24082792"/>
    <w:rsid w:val="24102A77"/>
    <w:rsid w:val="24145536"/>
    <w:rsid w:val="24265FB9"/>
    <w:rsid w:val="24416CE3"/>
    <w:rsid w:val="247E3093"/>
    <w:rsid w:val="247F5174"/>
    <w:rsid w:val="24856674"/>
    <w:rsid w:val="249A5DB1"/>
    <w:rsid w:val="24AA01C7"/>
    <w:rsid w:val="24AD2296"/>
    <w:rsid w:val="24E639EA"/>
    <w:rsid w:val="24E77D29"/>
    <w:rsid w:val="250528B0"/>
    <w:rsid w:val="25152FFA"/>
    <w:rsid w:val="252B6B5B"/>
    <w:rsid w:val="254E4C90"/>
    <w:rsid w:val="25754398"/>
    <w:rsid w:val="257829F7"/>
    <w:rsid w:val="258C7EDA"/>
    <w:rsid w:val="25965730"/>
    <w:rsid w:val="25AC55EF"/>
    <w:rsid w:val="25C85379"/>
    <w:rsid w:val="25CB2FF1"/>
    <w:rsid w:val="25DD1F0B"/>
    <w:rsid w:val="25DD52F2"/>
    <w:rsid w:val="25E30303"/>
    <w:rsid w:val="25E643D3"/>
    <w:rsid w:val="25E91426"/>
    <w:rsid w:val="25F71B5A"/>
    <w:rsid w:val="261C4FEE"/>
    <w:rsid w:val="261D0A1B"/>
    <w:rsid w:val="26270381"/>
    <w:rsid w:val="262F1EEF"/>
    <w:rsid w:val="26604556"/>
    <w:rsid w:val="2681797F"/>
    <w:rsid w:val="269420D0"/>
    <w:rsid w:val="26A63EB1"/>
    <w:rsid w:val="26C83DB6"/>
    <w:rsid w:val="26CE3281"/>
    <w:rsid w:val="26D468DF"/>
    <w:rsid w:val="26DE72B5"/>
    <w:rsid w:val="26EF621A"/>
    <w:rsid w:val="270846C4"/>
    <w:rsid w:val="270B43EA"/>
    <w:rsid w:val="27160223"/>
    <w:rsid w:val="274261F5"/>
    <w:rsid w:val="27440760"/>
    <w:rsid w:val="276E6E06"/>
    <w:rsid w:val="277529BF"/>
    <w:rsid w:val="27AC385B"/>
    <w:rsid w:val="27C75DAF"/>
    <w:rsid w:val="27D4162D"/>
    <w:rsid w:val="27E106FE"/>
    <w:rsid w:val="27E70979"/>
    <w:rsid w:val="2815429C"/>
    <w:rsid w:val="28216FD2"/>
    <w:rsid w:val="2830013E"/>
    <w:rsid w:val="28357716"/>
    <w:rsid w:val="284C2B12"/>
    <w:rsid w:val="287B2807"/>
    <w:rsid w:val="28947A10"/>
    <w:rsid w:val="28F7563F"/>
    <w:rsid w:val="29006482"/>
    <w:rsid w:val="29021DEE"/>
    <w:rsid w:val="290C02AF"/>
    <w:rsid w:val="292656AF"/>
    <w:rsid w:val="29425C46"/>
    <w:rsid w:val="294D5D55"/>
    <w:rsid w:val="295A4751"/>
    <w:rsid w:val="297D4D3B"/>
    <w:rsid w:val="29BE2ECE"/>
    <w:rsid w:val="29D97536"/>
    <w:rsid w:val="29DF067B"/>
    <w:rsid w:val="29EA35D3"/>
    <w:rsid w:val="2A436327"/>
    <w:rsid w:val="2A624569"/>
    <w:rsid w:val="2A6720D1"/>
    <w:rsid w:val="2A682B5C"/>
    <w:rsid w:val="2A755B46"/>
    <w:rsid w:val="2A9B6C10"/>
    <w:rsid w:val="2AC463B4"/>
    <w:rsid w:val="2AD42667"/>
    <w:rsid w:val="2B001BEB"/>
    <w:rsid w:val="2B0334EF"/>
    <w:rsid w:val="2B0F6700"/>
    <w:rsid w:val="2B3B4ADA"/>
    <w:rsid w:val="2B3D0B4A"/>
    <w:rsid w:val="2B63714B"/>
    <w:rsid w:val="2B723010"/>
    <w:rsid w:val="2B994F0B"/>
    <w:rsid w:val="2B9F5C98"/>
    <w:rsid w:val="2BA7274F"/>
    <w:rsid w:val="2BAD68C9"/>
    <w:rsid w:val="2BB55721"/>
    <w:rsid w:val="2BCE6612"/>
    <w:rsid w:val="2BD15B6A"/>
    <w:rsid w:val="2BD4634C"/>
    <w:rsid w:val="2BDC0A40"/>
    <w:rsid w:val="2BF023DA"/>
    <w:rsid w:val="2C0E1094"/>
    <w:rsid w:val="2C204E94"/>
    <w:rsid w:val="2C2737F0"/>
    <w:rsid w:val="2C4F5E7E"/>
    <w:rsid w:val="2C573937"/>
    <w:rsid w:val="2C5B614B"/>
    <w:rsid w:val="2C826ADC"/>
    <w:rsid w:val="2C952E57"/>
    <w:rsid w:val="2C990B80"/>
    <w:rsid w:val="2C9948A0"/>
    <w:rsid w:val="2C9A1510"/>
    <w:rsid w:val="2CAE0B17"/>
    <w:rsid w:val="2CB203AC"/>
    <w:rsid w:val="2CEA239D"/>
    <w:rsid w:val="2CFB3109"/>
    <w:rsid w:val="2D134D45"/>
    <w:rsid w:val="2D2219EF"/>
    <w:rsid w:val="2D27747B"/>
    <w:rsid w:val="2D2F5925"/>
    <w:rsid w:val="2D343226"/>
    <w:rsid w:val="2D3D4DD6"/>
    <w:rsid w:val="2D3F54E0"/>
    <w:rsid w:val="2D4C133D"/>
    <w:rsid w:val="2D4C6D7E"/>
    <w:rsid w:val="2D594ABF"/>
    <w:rsid w:val="2D601795"/>
    <w:rsid w:val="2D942CF5"/>
    <w:rsid w:val="2D994590"/>
    <w:rsid w:val="2DA17AFE"/>
    <w:rsid w:val="2DF237AE"/>
    <w:rsid w:val="2DF40A8B"/>
    <w:rsid w:val="2E1A22FC"/>
    <w:rsid w:val="2E1A6643"/>
    <w:rsid w:val="2E1B7662"/>
    <w:rsid w:val="2E1E5F27"/>
    <w:rsid w:val="2E296C5C"/>
    <w:rsid w:val="2E454AEB"/>
    <w:rsid w:val="2E635E79"/>
    <w:rsid w:val="2E7A1C46"/>
    <w:rsid w:val="2E9061A3"/>
    <w:rsid w:val="2EBB5F72"/>
    <w:rsid w:val="2EBC27AA"/>
    <w:rsid w:val="2ED916E0"/>
    <w:rsid w:val="2EE41316"/>
    <w:rsid w:val="2F01256C"/>
    <w:rsid w:val="2F0D7F4D"/>
    <w:rsid w:val="2F3A280F"/>
    <w:rsid w:val="2F3C1A2D"/>
    <w:rsid w:val="2F4A2787"/>
    <w:rsid w:val="2F5279CC"/>
    <w:rsid w:val="2F584916"/>
    <w:rsid w:val="2F6B4286"/>
    <w:rsid w:val="2FA5099F"/>
    <w:rsid w:val="2FAC2F26"/>
    <w:rsid w:val="2FB56E77"/>
    <w:rsid w:val="2FBF2335"/>
    <w:rsid w:val="2FD02702"/>
    <w:rsid w:val="2FF07035"/>
    <w:rsid w:val="2FF14450"/>
    <w:rsid w:val="2FF7611A"/>
    <w:rsid w:val="2FFB51B0"/>
    <w:rsid w:val="301268B1"/>
    <w:rsid w:val="301E521F"/>
    <w:rsid w:val="30423A77"/>
    <w:rsid w:val="304777C9"/>
    <w:rsid w:val="3048725C"/>
    <w:rsid w:val="30493B8F"/>
    <w:rsid w:val="304A5672"/>
    <w:rsid w:val="305147AC"/>
    <w:rsid w:val="30543732"/>
    <w:rsid w:val="305F4675"/>
    <w:rsid w:val="30615379"/>
    <w:rsid w:val="30675494"/>
    <w:rsid w:val="307A5F46"/>
    <w:rsid w:val="308F23A0"/>
    <w:rsid w:val="30967F9E"/>
    <w:rsid w:val="30C6592C"/>
    <w:rsid w:val="30E540E7"/>
    <w:rsid w:val="30EE7B24"/>
    <w:rsid w:val="30F75AD5"/>
    <w:rsid w:val="31221663"/>
    <w:rsid w:val="31280E66"/>
    <w:rsid w:val="313D44E3"/>
    <w:rsid w:val="3190076F"/>
    <w:rsid w:val="31B05C26"/>
    <w:rsid w:val="31CC2203"/>
    <w:rsid w:val="31CE0B2E"/>
    <w:rsid w:val="31D47FE5"/>
    <w:rsid w:val="31FD2354"/>
    <w:rsid w:val="322F6D90"/>
    <w:rsid w:val="32465955"/>
    <w:rsid w:val="325029B8"/>
    <w:rsid w:val="32517AFD"/>
    <w:rsid w:val="32520100"/>
    <w:rsid w:val="329210BA"/>
    <w:rsid w:val="32A27D61"/>
    <w:rsid w:val="32AD5A91"/>
    <w:rsid w:val="32D8067B"/>
    <w:rsid w:val="32DF06EA"/>
    <w:rsid w:val="32FD37AF"/>
    <w:rsid w:val="330939FE"/>
    <w:rsid w:val="331C66A1"/>
    <w:rsid w:val="334011FB"/>
    <w:rsid w:val="3352708F"/>
    <w:rsid w:val="33562B12"/>
    <w:rsid w:val="3369209D"/>
    <w:rsid w:val="33825082"/>
    <w:rsid w:val="33A41C97"/>
    <w:rsid w:val="33C64164"/>
    <w:rsid w:val="33FB6A7E"/>
    <w:rsid w:val="34A90C64"/>
    <w:rsid w:val="34B87C3F"/>
    <w:rsid w:val="34BA33B8"/>
    <w:rsid w:val="34C44FA1"/>
    <w:rsid w:val="34D0311F"/>
    <w:rsid w:val="34D6222F"/>
    <w:rsid w:val="34D93DE9"/>
    <w:rsid w:val="34EB2276"/>
    <w:rsid w:val="34F9140C"/>
    <w:rsid w:val="34FB78EF"/>
    <w:rsid w:val="350D449E"/>
    <w:rsid w:val="35163960"/>
    <w:rsid w:val="352371A7"/>
    <w:rsid w:val="353A78EB"/>
    <w:rsid w:val="356D1C18"/>
    <w:rsid w:val="35766DAB"/>
    <w:rsid w:val="357670C5"/>
    <w:rsid w:val="357958DD"/>
    <w:rsid w:val="358D2EE2"/>
    <w:rsid w:val="35AD1D61"/>
    <w:rsid w:val="35B645CE"/>
    <w:rsid w:val="35C2658C"/>
    <w:rsid w:val="36376AA3"/>
    <w:rsid w:val="365B611F"/>
    <w:rsid w:val="366A55B9"/>
    <w:rsid w:val="36990952"/>
    <w:rsid w:val="36A05A36"/>
    <w:rsid w:val="36A5046F"/>
    <w:rsid w:val="36AF48BF"/>
    <w:rsid w:val="36C15DC7"/>
    <w:rsid w:val="36DB4840"/>
    <w:rsid w:val="36EE67C0"/>
    <w:rsid w:val="36EF2BC0"/>
    <w:rsid w:val="36F02A25"/>
    <w:rsid w:val="36FB3646"/>
    <w:rsid w:val="373805A7"/>
    <w:rsid w:val="375D2689"/>
    <w:rsid w:val="377414EA"/>
    <w:rsid w:val="37767AE9"/>
    <w:rsid w:val="37AC3AAF"/>
    <w:rsid w:val="37BD234A"/>
    <w:rsid w:val="37D2031F"/>
    <w:rsid w:val="37DA5B74"/>
    <w:rsid w:val="380642E2"/>
    <w:rsid w:val="381A13CC"/>
    <w:rsid w:val="38237EAF"/>
    <w:rsid w:val="38375CB1"/>
    <w:rsid w:val="3863545C"/>
    <w:rsid w:val="38734222"/>
    <w:rsid w:val="388670E9"/>
    <w:rsid w:val="38A91501"/>
    <w:rsid w:val="38CD6053"/>
    <w:rsid w:val="38E16F84"/>
    <w:rsid w:val="38E43E04"/>
    <w:rsid w:val="392D58ED"/>
    <w:rsid w:val="39301243"/>
    <w:rsid w:val="39353015"/>
    <w:rsid w:val="39383888"/>
    <w:rsid w:val="39407753"/>
    <w:rsid w:val="39694D9B"/>
    <w:rsid w:val="396A4A41"/>
    <w:rsid w:val="396D0E78"/>
    <w:rsid w:val="39785D68"/>
    <w:rsid w:val="397F2CB0"/>
    <w:rsid w:val="39A60416"/>
    <w:rsid w:val="39A65578"/>
    <w:rsid w:val="39AE3F0D"/>
    <w:rsid w:val="39B30373"/>
    <w:rsid w:val="39C45CA1"/>
    <w:rsid w:val="39C577C8"/>
    <w:rsid w:val="39E5148A"/>
    <w:rsid w:val="39EF053C"/>
    <w:rsid w:val="39F373A0"/>
    <w:rsid w:val="39FE5C44"/>
    <w:rsid w:val="3A334E7E"/>
    <w:rsid w:val="3A456BE7"/>
    <w:rsid w:val="3A544B87"/>
    <w:rsid w:val="3A5A5A1A"/>
    <w:rsid w:val="3A5D22E7"/>
    <w:rsid w:val="3A935A37"/>
    <w:rsid w:val="3AA16B8F"/>
    <w:rsid w:val="3AA72BEA"/>
    <w:rsid w:val="3AAE314C"/>
    <w:rsid w:val="3AB8583D"/>
    <w:rsid w:val="3AEA152C"/>
    <w:rsid w:val="3AF35C5F"/>
    <w:rsid w:val="3B0B43BB"/>
    <w:rsid w:val="3B1016C0"/>
    <w:rsid w:val="3B2001AC"/>
    <w:rsid w:val="3B253A65"/>
    <w:rsid w:val="3B2D54EE"/>
    <w:rsid w:val="3B407804"/>
    <w:rsid w:val="3B6150DA"/>
    <w:rsid w:val="3B776643"/>
    <w:rsid w:val="3B832AE2"/>
    <w:rsid w:val="3BB43A01"/>
    <w:rsid w:val="3BD0670F"/>
    <w:rsid w:val="3BDE4BA7"/>
    <w:rsid w:val="3BE461D5"/>
    <w:rsid w:val="3BFA2A81"/>
    <w:rsid w:val="3C0C05ED"/>
    <w:rsid w:val="3C392711"/>
    <w:rsid w:val="3C3E7321"/>
    <w:rsid w:val="3C41552D"/>
    <w:rsid w:val="3C4611B9"/>
    <w:rsid w:val="3C4A6476"/>
    <w:rsid w:val="3C5E53ED"/>
    <w:rsid w:val="3C8707D5"/>
    <w:rsid w:val="3CB92E18"/>
    <w:rsid w:val="3CBD44CF"/>
    <w:rsid w:val="3CD9412D"/>
    <w:rsid w:val="3CE1772F"/>
    <w:rsid w:val="3CF54B95"/>
    <w:rsid w:val="3D04478F"/>
    <w:rsid w:val="3D0C7C36"/>
    <w:rsid w:val="3D234E82"/>
    <w:rsid w:val="3D7A18F8"/>
    <w:rsid w:val="3D927E8D"/>
    <w:rsid w:val="3D930B3B"/>
    <w:rsid w:val="3D9321C5"/>
    <w:rsid w:val="3D9835E1"/>
    <w:rsid w:val="3DA02F62"/>
    <w:rsid w:val="3DC4445C"/>
    <w:rsid w:val="3DE96F0D"/>
    <w:rsid w:val="3E021333"/>
    <w:rsid w:val="3E276DCD"/>
    <w:rsid w:val="3E3E4744"/>
    <w:rsid w:val="3E403626"/>
    <w:rsid w:val="3E416AFE"/>
    <w:rsid w:val="3E447A1E"/>
    <w:rsid w:val="3E452B90"/>
    <w:rsid w:val="3E6F5366"/>
    <w:rsid w:val="3E783DB5"/>
    <w:rsid w:val="3E7C27CE"/>
    <w:rsid w:val="3E8C6C3F"/>
    <w:rsid w:val="3EC22BAE"/>
    <w:rsid w:val="3EC50169"/>
    <w:rsid w:val="3ECF727F"/>
    <w:rsid w:val="3EDD647A"/>
    <w:rsid w:val="3EF0068A"/>
    <w:rsid w:val="3F111CEF"/>
    <w:rsid w:val="3F123024"/>
    <w:rsid w:val="3F322658"/>
    <w:rsid w:val="3F364D30"/>
    <w:rsid w:val="3F6947D8"/>
    <w:rsid w:val="3F9C4267"/>
    <w:rsid w:val="3FB53723"/>
    <w:rsid w:val="3FC22361"/>
    <w:rsid w:val="3FFD2B90"/>
    <w:rsid w:val="400920A8"/>
    <w:rsid w:val="400A0BC7"/>
    <w:rsid w:val="40532060"/>
    <w:rsid w:val="40545BEC"/>
    <w:rsid w:val="40585659"/>
    <w:rsid w:val="406446FB"/>
    <w:rsid w:val="409267C4"/>
    <w:rsid w:val="40BD54E7"/>
    <w:rsid w:val="40C07147"/>
    <w:rsid w:val="40EB48AF"/>
    <w:rsid w:val="40EF645B"/>
    <w:rsid w:val="40F06099"/>
    <w:rsid w:val="40FF67DD"/>
    <w:rsid w:val="412A4EB2"/>
    <w:rsid w:val="415D109C"/>
    <w:rsid w:val="416C6026"/>
    <w:rsid w:val="418D5BB6"/>
    <w:rsid w:val="4191278B"/>
    <w:rsid w:val="419B588C"/>
    <w:rsid w:val="41A948A5"/>
    <w:rsid w:val="41B869B8"/>
    <w:rsid w:val="41DB2A9B"/>
    <w:rsid w:val="41E443BE"/>
    <w:rsid w:val="41E73ED3"/>
    <w:rsid w:val="41F041F6"/>
    <w:rsid w:val="41F64722"/>
    <w:rsid w:val="420A527D"/>
    <w:rsid w:val="42122149"/>
    <w:rsid w:val="421F248F"/>
    <w:rsid w:val="424706A7"/>
    <w:rsid w:val="42576A87"/>
    <w:rsid w:val="426A488F"/>
    <w:rsid w:val="427E1F17"/>
    <w:rsid w:val="42C8352F"/>
    <w:rsid w:val="42CC7D3C"/>
    <w:rsid w:val="42E12859"/>
    <w:rsid w:val="431B6C88"/>
    <w:rsid w:val="431C5E49"/>
    <w:rsid w:val="43211F27"/>
    <w:rsid w:val="432309AC"/>
    <w:rsid w:val="4323189F"/>
    <w:rsid w:val="43296D0F"/>
    <w:rsid w:val="43352EDC"/>
    <w:rsid w:val="43434FEC"/>
    <w:rsid w:val="436255E3"/>
    <w:rsid w:val="43776146"/>
    <w:rsid w:val="437A1BF0"/>
    <w:rsid w:val="43877624"/>
    <w:rsid w:val="43AC6B5A"/>
    <w:rsid w:val="43B237DA"/>
    <w:rsid w:val="43B779F5"/>
    <w:rsid w:val="43C16E82"/>
    <w:rsid w:val="43F66A11"/>
    <w:rsid w:val="440E1D91"/>
    <w:rsid w:val="441773E3"/>
    <w:rsid w:val="44206556"/>
    <w:rsid w:val="44542398"/>
    <w:rsid w:val="447214B0"/>
    <w:rsid w:val="44774C13"/>
    <w:rsid w:val="44843DAD"/>
    <w:rsid w:val="44A80DF9"/>
    <w:rsid w:val="44B13A3F"/>
    <w:rsid w:val="44CA6470"/>
    <w:rsid w:val="44EE6934"/>
    <w:rsid w:val="44F25008"/>
    <w:rsid w:val="45095B9F"/>
    <w:rsid w:val="45294FBB"/>
    <w:rsid w:val="458635DB"/>
    <w:rsid w:val="458C613B"/>
    <w:rsid w:val="45A673AE"/>
    <w:rsid w:val="45C1488D"/>
    <w:rsid w:val="45DB083F"/>
    <w:rsid w:val="45DB408C"/>
    <w:rsid w:val="45DF5D89"/>
    <w:rsid w:val="45E8576C"/>
    <w:rsid w:val="45EA4CC4"/>
    <w:rsid w:val="45F40020"/>
    <w:rsid w:val="462744A5"/>
    <w:rsid w:val="46274B29"/>
    <w:rsid w:val="463F0F1F"/>
    <w:rsid w:val="46414AF3"/>
    <w:rsid w:val="4644323D"/>
    <w:rsid w:val="4668255C"/>
    <w:rsid w:val="466E3D47"/>
    <w:rsid w:val="46823974"/>
    <w:rsid w:val="46BE496C"/>
    <w:rsid w:val="46C402EE"/>
    <w:rsid w:val="46E53C65"/>
    <w:rsid w:val="46F42100"/>
    <w:rsid w:val="4724379C"/>
    <w:rsid w:val="474C147D"/>
    <w:rsid w:val="475B66EB"/>
    <w:rsid w:val="476D2079"/>
    <w:rsid w:val="478B4D5C"/>
    <w:rsid w:val="47966330"/>
    <w:rsid w:val="47997BB5"/>
    <w:rsid w:val="47A57D35"/>
    <w:rsid w:val="47B26A5A"/>
    <w:rsid w:val="47F34FCF"/>
    <w:rsid w:val="481858CC"/>
    <w:rsid w:val="481A0801"/>
    <w:rsid w:val="48386094"/>
    <w:rsid w:val="485523F0"/>
    <w:rsid w:val="48577174"/>
    <w:rsid w:val="48626458"/>
    <w:rsid w:val="487B2C47"/>
    <w:rsid w:val="48864D1D"/>
    <w:rsid w:val="488B6342"/>
    <w:rsid w:val="488D272B"/>
    <w:rsid w:val="489005C1"/>
    <w:rsid w:val="48AC6633"/>
    <w:rsid w:val="48F16D90"/>
    <w:rsid w:val="49295EB1"/>
    <w:rsid w:val="493B1C61"/>
    <w:rsid w:val="49481885"/>
    <w:rsid w:val="498A5448"/>
    <w:rsid w:val="4A104A88"/>
    <w:rsid w:val="4A213ADF"/>
    <w:rsid w:val="4A216B47"/>
    <w:rsid w:val="4A284CFD"/>
    <w:rsid w:val="4A375BAA"/>
    <w:rsid w:val="4A397952"/>
    <w:rsid w:val="4A4A5784"/>
    <w:rsid w:val="4A703D85"/>
    <w:rsid w:val="4A7323A7"/>
    <w:rsid w:val="4A862119"/>
    <w:rsid w:val="4A950332"/>
    <w:rsid w:val="4AA308F8"/>
    <w:rsid w:val="4AAE1161"/>
    <w:rsid w:val="4AB741BF"/>
    <w:rsid w:val="4ACC572F"/>
    <w:rsid w:val="4AD24DB4"/>
    <w:rsid w:val="4AD81E19"/>
    <w:rsid w:val="4AEA6AE0"/>
    <w:rsid w:val="4AEC59E4"/>
    <w:rsid w:val="4AEE640C"/>
    <w:rsid w:val="4AF37086"/>
    <w:rsid w:val="4AFD4C7B"/>
    <w:rsid w:val="4B08297C"/>
    <w:rsid w:val="4B234A68"/>
    <w:rsid w:val="4B3667C1"/>
    <w:rsid w:val="4B554F81"/>
    <w:rsid w:val="4B6063BE"/>
    <w:rsid w:val="4B8D0273"/>
    <w:rsid w:val="4B9A5D34"/>
    <w:rsid w:val="4BAF0A90"/>
    <w:rsid w:val="4BC126E2"/>
    <w:rsid w:val="4BCB375C"/>
    <w:rsid w:val="4BD702E7"/>
    <w:rsid w:val="4BE80F46"/>
    <w:rsid w:val="4BE90FB4"/>
    <w:rsid w:val="4BEC20E3"/>
    <w:rsid w:val="4C031DB6"/>
    <w:rsid w:val="4C196A63"/>
    <w:rsid w:val="4C2A6EF5"/>
    <w:rsid w:val="4C3555AE"/>
    <w:rsid w:val="4C3C4248"/>
    <w:rsid w:val="4C47693B"/>
    <w:rsid w:val="4C5043DB"/>
    <w:rsid w:val="4C5616B4"/>
    <w:rsid w:val="4C6E2DD9"/>
    <w:rsid w:val="4C7843AA"/>
    <w:rsid w:val="4C8F302E"/>
    <w:rsid w:val="4CAB0630"/>
    <w:rsid w:val="4CD72FB7"/>
    <w:rsid w:val="4CDC0EB7"/>
    <w:rsid w:val="4CE00331"/>
    <w:rsid w:val="4CF26B7A"/>
    <w:rsid w:val="4D17698C"/>
    <w:rsid w:val="4D3D2422"/>
    <w:rsid w:val="4D5A0123"/>
    <w:rsid w:val="4D653D41"/>
    <w:rsid w:val="4DA51238"/>
    <w:rsid w:val="4DCA7E75"/>
    <w:rsid w:val="4DEA0FE1"/>
    <w:rsid w:val="4DF14792"/>
    <w:rsid w:val="4E014703"/>
    <w:rsid w:val="4E2C4007"/>
    <w:rsid w:val="4E505F64"/>
    <w:rsid w:val="4E815E66"/>
    <w:rsid w:val="4E857439"/>
    <w:rsid w:val="4EF710A8"/>
    <w:rsid w:val="4EF859EF"/>
    <w:rsid w:val="4F041548"/>
    <w:rsid w:val="4F08611B"/>
    <w:rsid w:val="4F1070FC"/>
    <w:rsid w:val="4F24548A"/>
    <w:rsid w:val="4F322154"/>
    <w:rsid w:val="4F4B05A8"/>
    <w:rsid w:val="4F53402A"/>
    <w:rsid w:val="4FAF07F9"/>
    <w:rsid w:val="50370D76"/>
    <w:rsid w:val="50535B4A"/>
    <w:rsid w:val="507B33EA"/>
    <w:rsid w:val="50911690"/>
    <w:rsid w:val="50A56A9F"/>
    <w:rsid w:val="50BB2E08"/>
    <w:rsid w:val="50D53EB9"/>
    <w:rsid w:val="50F65069"/>
    <w:rsid w:val="510E1558"/>
    <w:rsid w:val="511238D4"/>
    <w:rsid w:val="512269E9"/>
    <w:rsid w:val="512B4AB9"/>
    <w:rsid w:val="513811BC"/>
    <w:rsid w:val="5146429F"/>
    <w:rsid w:val="51803E48"/>
    <w:rsid w:val="51A34ED7"/>
    <w:rsid w:val="51B71AE0"/>
    <w:rsid w:val="51C64060"/>
    <w:rsid w:val="51CC1773"/>
    <w:rsid w:val="51DE17D9"/>
    <w:rsid w:val="51DF2492"/>
    <w:rsid w:val="51E314DA"/>
    <w:rsid w:val="51E76C31"/>
    <w:rsid w:val="51F56B1E"/>
    <w:rsid w:val="523D62FF"/>
    <w:rsid w:val="524F7911"/>
    <w:rsid w:val="528463BB"/>
    <w:rsid w:val="528B4397"/>
    <w:rsid w:val="52C674CD"/>
    <w:rsid w:val="53062EAF"/>
    <w:rsid w:val="530D086A"/>
    <w:rsid w:val="537D469C"/>
    <w:rsid w:val="538945BA"/>
    <w:rsid w:val="538B2455"/>
    <w:rsid w:val="538C383A"/>
    <w:rsid w:val="53997909"/>
    <w:rsid w:val="539A34D7"/>
    <w:rsid w:val="53A42BEE"/>
    <w:rsid w:val="53C37A7F"/>
    <w:rsid w:val="53D60CD8"/>
    <w:rsid w:val="53E800DF"/>
    <w:rsid w:val="53EC2500"/>
    <w:rsid w:val="54324BBD"/>
    <w:rsid w:val="54466608"/>
    <w:rsid w:val="545E469F"/>
    <w:rsid w:val="548E3187"/>
    <w:rsid w:val="54962B8B"/>
    <w:rsid w:val="549A4334"/>
    <w:rsid w:val="54A52AB7"/>
    <w:rsid w:val="54CA518B"/>
    <w:rsid w:val="54F66FA9"/>
    <w:rsid w:val="54F84291"/>
    <w:rsid w:val="55007A41"/>
    <w:rsid w:val="551017E5"/>
    <w:rsid w:val="551634A5"/>
    <w:rsid w:val="55287CA8"/>
    <w:rsid w:val="553972C1"/>
    <w:rsid w:val="559A4FB7"/>
    <w:rsid w:val="55AA0013"/>
    <w:rsid w:val="55B55772"/>
    <w:rsid w:val="55BD3804"/>
    <w:rsid w:val="55C448D4"/>
    <w:rsid w:val="55CC7988"/>
    <w:rsid w:val="55D17BFC"/>
    <w:rsid w:val="55D24FFF"/>
    <w:rsid w:val="562167E1"/>
    <w:rsid w:val="562C14CE"/>
    <w:rsid w:val="562D56EF"/>
    <w:rsid w:val="56391DCA"/>
    <w:rsid w:val="56565F8E"/>
    <w:rsid w:val="565E27D1"/>
    <w:rsid w:val="566A512A"/>
    <w:rsid w:val="566B3A92"/>
    <w:rsid w:val="567100BB"/>
    <w:rsid w:val="56892354"/>
    <w:rsid w:val="56B109A1"/>
    <w:rsid w:val="56C000EB"/>
    <w:rsid w:val="57011DBA"/>
    <w:rsid w:val="57233B36"/>
    <w:rsid w:val="57293748"/>
    <w:rsid w:val="57510D52"/>
    <w:rsid w:val="575764EB"/>
    <w:rsid w:val="575D4CC7"/>
    <w:rsid w:val="576421AC"/>
    <w:rsid w:val="577A0069"/>
    <w:rsid w:val="578219C3"/>
    <w:rsid w:val="57A83A14"/>
    <w:rsid w:val="57A90050"/>
    <w:rsid w:val="57BC4F9D"/>
    <w:rsid w:val="57C11682"/>
    <w:rsid w:val="57CC0EB8"/>
    <w:rsid w:val="58043F47"/>
    <w:rsid w:val="580823FC"/>
    <w:rsid w:val="580F18CB"/>
    <w:rsid w:val="581B4A6D"/>
    <w:rsid w:val="58252601"/>
    <w:rsid w:val="58467DE6"/>
    <w:rsid w:val="584E74D1"/>
    <w:rsid w:val="58623973"/>
    <w:rsid w:val="58675DCE"/>
    <w:rsid w:val="587E04A6"/>
    <w:rsid w:val="58B17683"/>
    <w:rsid w:val="58B907CE"/>
    <w:rsid w:val="58D33114"/>
    <w:rsid w:val="58D916E1"/>
    <w:rsid w:val="58E646D2"/>
    <w:rsid w:val="590D488D"/>
    <w:rsid w:val="591C5BB6"/>
    <w:rsid w:val="59310F20"/>
    <w:rsid w:val="593C1235"/>
    <w:rsid w:val="59432C66"/>
    <w:rsid w:val="594B2C52"/>
    <w:rsid w:val="5952308F"/>
    <w:rsid w:val="59526959"/>
    <w:rsid w:val="597625FE"/>
    <w:rsid w:val="597C79ED"/>
    <w:rsid w:val="5980489F"/>
    <w:rsid w:val="599E208B"/>
    <w:rsid w:val="59A538E7"/>
    <w:rsid w:val="59A96B3C"/>
    <w:rsid w:val="59C22940"/>
    <w:rsid w:val="59C652E5"/>
    <w:rsid w:val="59D42750"/>
    <w:rsid w:val="59EA2CD9"/>
    <w:rsid w:val="5A2C667B"/>
    <w:rsid w:val="5A3256E1"/>
    <w:rsid w:val="5A3602BE"/>
    <w:rsid w:val="5A39041A"/>
    <w:rsid w:val="5A3F5FAF"/>
    <w:rsid w:val="5A432D43"/>
    <w:rsid w:val="5A563893"/>
    <w:rsid w:val="5AC70D29"/>
    <w:rsid w:val="5ACD0A91"/>
    <w:rsid w:val="5B3A2CDD"/>
    <w:rsid w:val="5B5145BC"/>
    <w:rsid w:val="5B550558"/>
    <w:rsid w:val="5B655744"/>
    <w:rsid w:val="5B7C6500"/>
    <w:rsid w:val="5BAE7A5C"/>
    <w:rsid w:val="5BC23AD5"/>
    <w:rsid w:val="5BC510A8"/>
    <w:rsid w:val="5BC73AFD"/>
    <w:rsid w:val="5BCD5FA0"/>
    <w:rsid w:val="5BE76F60"/>
    <w:rsid w:val="5C066BB2"/>
    <w:rsid w:val="5C1D1E60"/>
    <w:rsid w:val="5C2D58E6"/>
    <w:rsid w:val="5C2F317C"/>
    <w:rsid w:val="5C372D98"/>
    <w:rsid w:val="5C711D2F"/>
    <w:rsid w:val="5C782FE3"/>
    <w:rsid w:val="5C815359"/>
    <w:rsid w:val="5C9E3FCC"/>
    <w:rsid w:val="5CA11E8A"/>
    <w:rsid w:val="5CAA4C3D"/>
    <w:rsid w:val="5CB07B66"/>
    <w:rsid w:val="5CB20A89"/>
    <w:rsid w:val="5CB906F4"/>
    <w:rsid w:val="5CC87ABF"/>
    <w:rsid w:val="5CED1A7A"/>
    <w:rsid w:val="5D1771BF"/>
    <w:rsid w:val="5D2D5741"/>
    <w:rsid w:val="5D6A4B76"/>
    <w:rsid w:val="5D7A5B2F"/>
    <w:rsid w:val="5D8E47A5"/>
    <w:rsid w:val="5DAC3FA0"/>
    <w:rsid w:val="5E0B5CFE"/>
    <w:rsid w:val="5E1F2F87"/>
    <w:rsid w:val="5E213C7B"/>
    <w:rsid w:val="5E32489F"/>
    <w:rsid w:val="5E3A4283"/>
    <w:rsid w:val="5E6B4649"/>
    <w:rsid w:val="5E71031E"/>
    <w:rsid w:val="5E7B3841"/>
    <w:rsid w:val="5E7D011C"/>
    <w:rsid w:val="5E872B1F"/>
    <w:rsid w:val="5EDF1CA2"/>
    <w:rsid w:val="5EE04E07"/>
    <w:rsid w:val="5EE57A15"/>
    <w:rsid w:val="5EEA3134"/>
    <w:rsid w:val="5EED1B29"/>
    <w:rsid w:val="5F434FF7"/>
    <w:rsid w:val="5F5D4835"/>
    <w:rsid w:val="5F87025A"/>
    <w:rsid w:val="5F8E20CE"/>
    <w:rsid w:val="5F9067A3"/>
    <w:rsid w:val="5FA07AED"/>
    <w:rsid w:val="5FB05CDB"/>
    <w:rsid w:val="5FB61E72"/>
    <w:rsid w:val="5FBA3FF9"/>
    <w:rsid w:val="5FD71210"/>
    <w:rsid w:val="5FE12B1F"/>
    <w:rsid w:val="5FE155FF"/>
    <w:rsid w:val="5FE3581F"/>
    <w:rsid w:val="5FE70AB0"/>
    <w:rsid w:val="5FEA65F5"/>
    <w:rsid w:val="5FF376F6"/>
    <w:rsid w:val="600D2EB2"/>
    <w:rsid w:val="6042387F"/>
    <w:rsid w:val="605503EA"/>
    <w:rsid w:val="606B5493"/>
    <w:rsid w:val="608B7F32"/>
    <w:rsid w:val="608C0FE6"/>
    <w:rsid w:val="60D82094"/>
    <w:rsid w:val="61034BA5"/>
    <w:rsid w:val="610C45CD"/>
    <w:rsid w:val="61175EED"/>
    <w:rsid w:val="61357817"/>
    <w:rsid w:val="613A7671"/>
    <w:rsid w:val="615C1EA9"/>
    <w:rsid w:val="615D3F60"/>
    <w:rsid w:val="617E57FA"/>
    <w:rsid w:val="6183409F"/>
    <w:rsid w:val="618E78A1"/>
    <w:rsid w:val="61A548CE"/>
    <w:rsid w:val="61A85471"/>
    <w:rsid w:val="61CD595E"/>
    <w:rsid w:val="61F50435"/>
    <w:rsid w:val="626B2226"/>
    <w:rsid w:val="62770119"/>
    <w:rsid w:val="628A41DC"/>
    <w:rsid w:val="62B71088"/>
    <w:rsid w:val="62C952F6"/>
    <w:rsid w:val="62D24842"/>
    <w:rsid w:val="62DD09E9"/>
    <w:rsid w:val="62F626DF"/>
    <w:rsid w:val="62FF6028"/>
    <w:rsid w:val="632C154E"/>
    <w:rsid w:val="63456615"/>
    <w:rsid w:val="6354550C"/>
    <w:rsid w:val="635856DF"/>
    <w:rsid w:val="636139BC"/>
    <w:rsid w:val="636B7C36"/>
    <w:rsid w:val="63856EF8"/>
    <w:rsid w:val="639B61DD"/>
    <w:rsid w:val="63BB6B84"/>
    <w:rsid w:val="63D51528"/>
    <w:rsid w:val="63E22063"/>
    <w:rsid w:val="640642B1"/>
    <w:rsid w:val="64175F1E"/>
    <w:rsid w:val="645B401F"/>
    <w:rsid w:val="646B49D5"/>
    <w:rsid w:val="64853AA3"/>
    <w:rsid w:val="64944659"/>
    <w:rsid w:val="64B52F53"/>
    <w:rsid w:val="64D5279B"/>
    <w:rsid w:val="64E61168"/>
    <w:rsid w:val="64FA5A2E"/>
    <w:rsid w:val="6507003D"/>
    <w:rsid w:val="651625F8"/>
    <w:rsid w:val="65174224"/>
    <w:rsid w:val="652400B9"/>
    <w:rsid w:val="652845A3"/>
    <w:rsid w:val="652C0CFD"/>
    <w:rsid w:val="6537177C"/>
    <w:rsid w:val="65484882"/>
    <w:rsid w:val="655A6EDE"/>
    <w:rsid w:val="658C06F5"/>
    <w:rsid w:val="659A68ED"/>
    <w:rsid w:val="65B44AAE"/>
    <w:rsid w:val="65D17659"/>
    <w:rsid w:val="65EB4DAD"/>
    <w:rsid w:val="669B662E"/>
    <w:rsid w:val="66CD0896"/>
    <w:rsid w:val="66E423F7"/>
    <w:rsid w:val="66EA7B3A"/>
    <w:rsid w:val="67041A9D"/>
    <w:rsid w:val="670D0980"/>
    <w:rsid w:val="673C6884"/>
    <w:rsid w:val="67513E42"/>
    <w:rsid w:val="67550FE2"/>
    <w:rsid w:val="67804B30"/>
    <w:rsid w:val="67842F10"/>
    <w:rsid w:val="67BB1F70"/>
    <w:rsid w:val="67C276FB"/>
    <w:rsid w:val="67CB5B39"/>
    <w:rsid w:val="67D03EC5"/>
    <w:rsid w:val="67E04C16"/>
    <w:rsid w:val="68030CCD"/>
    <w:rsid w:val="68047B83"/>
    <w:rsid w:val="68145ED0"/>
    <w:rsid w:val="68167296"/>
    <w:rsid w:val="6844375D"/>
    <w:rsid w:val="684A3079"/>
    <w:rsid w:val="686C5F37"/>
    <w:rsid w:val="68735425"/>
    <w:rsid w:val="688D6213"/>
    <w:rsid w:val="68BC4CB9"/>
    <w:rsid w:val="68DA1AD3"/>
    <w:rsid w:val="68F0063C"/>
    <w:rsid w:val="68F23F48"/>
    <w:rsid w:val="691D00E2"/>
    <w:rsid w:val="6963589B"/>
    <w:rsid w:val="696A26C8"/>
    <w:rsid w:val="697E2CF6"/>
    <w:rsid w:val="69864A9F"/>
    <w:rsid w:val="69A52E3C"/>
    <w:rsid w:val="69B144DC"/>
    <w:rsid w:val="69CC2935"/>
    <w:rsid w:val="69DB1854"/>
    <w:rsid w:val="69E631B0"/>
    <w:rsid w:val="69EA1359"/>
    <w:rsid w:val="69F81010"/>
    <w:rsid w:val="6A006040"/>
    <w:rsid w:val="6A015450"/>
    <w:rsid w:val="6A040BE3"/>
    <w:rsid w:val="6A151C40"/>
    <w:rsid w:val="6A3A7047"/>
    <w:rsid w:val="6A4F1FC9"/>
    <w:rsid w:val="6AB9110B"/>
    <w:rsid w:val="6B06103C"/>
    <w:rsid w:val="6B084C38"/>
    <w:rsid w:val="6B1717BA"/>
    <w:rsid w:val="6B560413"/>
    <w:rsid w:val="6B94583C"/>
    <w:rsid w:val="6B98619A"/>
    <w:rsid w:val="6BC7619A"/>
    <w:rsid w:val="6BCB366E"/>
    <w:rsid w:val="6BEE250B"/>
    <w:rsid w:val="6BF17E60"/>
    <w:rsid w:val="6BF40E41"/>
    <w:rsid w:val="6BF7412E"/>
    <w:rsid w:val="6C1744F7"/>
    <w:rsid w:val="6C2D3C64"/>
    <w:rsid w:val="6C2D6CBC"/>
    <w:rsid w:val="6C594AF7"/>
    <w:rsid w:val="6C5E1C3D"/>
    <w:rsid w:val="6C844F21"/>
    <w:rsid w:val="6CA156F2"/>
    <w:rsid w:val="6CA376C5"/>
    <w:rsid w:val="6CBD0945"/>
    <w:rsid w:val="6D6A7F7F"/>
    <w:rsid w:val="6D760D35"/>
    <w:rsid w:val="6DA474D8"/>
    <w:rsid w:val="6DC44EDA"/>
    <w:rsid w:val="6DC97648"/>
    <w:rsid w:val="6DCD7F8B"/>
    <w:rsid w:val="6E1D611F"/>
    <w:rsid w:val="6E2A341B"/>
    <w:rsid w:val="6E4754BA"/>
    <w:rsid w:val="6E4D3974"/>
    <w:rsid w:val="6E66260E"/>
    <w:rsid w:val="6E6B04F4"/>
    <w:rsid w:val="6E79351A"/>
    <w:rsid w:val="6ED13BBF"/>
    <w:rsid w:val="6F040F00"/>
    <w:rsid w:val="6F084801"/>
    <w:rsid w:val="6F23540F"/>
    <w:rsid w:val="6F44343D"/>
    <w:rsid w:val="6F5B4B2E"/>
    <w:rsid w:val="6F606923"/>
    <w:rsid w:val="6F842AEE"/>
    <w:rsid w:val="6F850090"/>
    <w:rsid w:val="6FB70183"/>
    <w:rsid w:val="6FD14068"/>
    <w:rsid w:val="6FD47568"/>
    <w:rsid w:val="6FD65E7A"/>
    <w:rsid w:val="6FD91F92"/>
    <w:rsid w:val="6FDC4B5E"/>
    <w:rsid w:val="6FEC6BEC"/>
    <w:rsid w:val="701329F7"/>
    <w:rsid w:val="70293B08"/>
    <w:rsid w:val="70801156"/>
    <w:rsid w:val="70832ED7"/>
    <w:rsid w:val="70967C65"/>
    <w:rsid w:val="70A50814"/>
    <w:rsid w:val="70B657D1"/>
    <w:rsid w:val="70C54C52"/>
    <w:rsid w:val="70D449A9"/>
    <w:rsid w:val="70D5734C"/>
    <w:rsid w:val="70E67304"/>
    <w:rsid w:val="70E952FD"/>
    <w:rsid w:val="711A42F2"/>
    <w:rsid w:val="71237795"/>
    <w:rsid w:val="71723E2A"/>
    <w:rsid w:val="717F547D"/>
    <w:rsid w:val="71A62F79"/>
    <w:rsid w:val="71A73B8F"/>
    <w:rsid w:val="71B35112"/>
    <w:rsid w:val="71FB7D20"/>
    <w:rsid w:val="72124E55"/>
    <w:rsid w:val="7229148C"/>
    <w:rsid w:val="723A0AD1"/>
    <w:rsid w:val="72451726"/>
    <w:rsid w:val="724747DB"/>
    <w:rsid w:val="724A5296"/>
    <w:rsid w:val="724D5962"/>
    <w:rsid w:val="7253787B"/>
    <w:rsid w:val="72785B36"/>
    <w:rsid w:val="72B12904"/>
    <w:rsid w:val="72C11C2A"/>
    <w:rsid w:val="72CD7E4D"/>
    <w:rsid w:val="72D92343"/>
    <w:rsid w:val="72D948AC"/>
    <w:rsid w:val="72DB34C4"/>
    <w:rsid w:val="73077798"/>
    <w:rsid w:val="730D6A01"/>
    <w:rsid w:val="73334E99"/>
    <w:rsid w:val="73624872"/>
    <w:rsid w:val="736B37FA"/>
    <w:rsid w:val="738F007E"/>
    <w:rsid w:val="739F3794"/>
    <w:rsid w:val="73AE2AF8"/>
    <w:rsid w:val="73B96F85"/>
    <w:rsid w:val="73C624BE"/>
    <w:rsid w:val="73FD389D"/>
    <w:rsid w:val="74214D05"/>
    <w:rsid w:val="74262D54"/>
    <w:rsid w:val="742C0907"/>
    <w:rsid w:val="74310172"/>
    <w:rsid w:val="744612DF"/>
    <w:rsid w:val="7446767F"/>
    <w:rsid w:val="747665BC"/>
    <w:rsid w:val="749C2402"/>
    <w:rsid w:val="74A92F89"/>
    <w:rsid w:val="74BA1666"/>
    <w:rsid w:val="74D13F31"/>
    <w:rsid w:val="74E40449"/>
    <w:rsid w:val="74E96819"/>
    <w:rsid w:val="74EF0592"/>
    <w:rsid w:val="74F21F8B"/>
    <w:rsid w:val="74F33A8C"/>
    <w:rsid w:val="75146D58"/>
    <w:rsid w:val="75207FAF"/>
    <w:rsid w:val="75414868"/>
    <w:rsid w:val="756F66AC"/>
    <w:rsid w:val="759454BB"/>
    <w:rsid w:val="759E589A"/>
    <w:rsid w:val="759F700D"/>
    <w:rsid w:val="75AA229A"/>
    <w:rsid w:val="75BF7236"/>
    <w:rsid w:val="75C04997"/>
    <w:rsid w:val="75C12609"/>
    <w:rsid w:val="75C335B9"/>
    <w:rsid w:val="75C67E4C"/>
    <w:rsid w:val="75DA4F1B"/>
    <w:rsid w:val="75F04518"/>
    <w:rsid w:val="75F45093"/>
    <w:rsid w:val="75FA66DA"/>
    <w:rsid w:val="765850FD"/>
    <w:rsid w:val="76814153"/>
    <w:rsid w:val="76954022"/>
    <w:rsid w:val="76992E10"/>
    <w:rsid w:val="76D8044E"/>
    <w:rsid w:val="76F0624A"/>
    <w:rsid w:val="76F20D2B"/>
    <w:rsid w:val="77261E71"/>
    <w:rsid w:val="77452475"/>
    <w:rsid w:val="77690CCD"/>
    <w:rsid w:val="77886FA2"/>
    <w:rsid w:val="778F680C"/>
    <w:rsid w:val="77A17190"/>
    <w:rsid w:val="77A55F74"/>
    <w:rsid w:val="77C2566B"/>
    <w:rsid w:val="77D46579"/>
    <w:rsid w:val="77D4794A"/>
    <w:rsid w:val="782575E6"/>
    <w:rsid w:val="782E03C8"/>
    <w:rsid w:val="78357D36"/>
    <w:rsid w:val="783B3F1E"/>
    <w:rsid w:val="78961637"/>
    <w:rsid w:val="78A10449"/>
    <w:rsid w:val="78B45554"/>
    <w:rsid w:val="78D3687E"/>
    <w:rsid w:val="78D46C26"/>
    <w:rsid w:val="78F36B4E"/>
    <w:rsid w:val="78FC634F"/>
    <w:rsid w:val="79216F57"/>
    <w:rsid w:val="792F1169"/>
    <w:rsid w:val="796E3428"/>
    <w:rsid w:val="797C5599"/>
    <w:rsid w:val="79B82E62"/>
    <w:rsid w:val="79CE2CAA"/>
    <w:rsid w:val="79E549B8"/>
    <w:rsid w:val="7A012717"/>
    <w:rsid w:val="7A4B37A6"/>
    <w:rsid w:val="7A650BCD"/>
    <w:rsid w:val="7A667956"/>
    <w:rsid w:val="7A9B045C"/>
    <w:rsid w:val="7AB10BAE"/>
    <w:rsid w:val="7AB25C2E"/>
    <w:rsid w:val="7AC562B4"/>
    <w:rsid w:val="7ADC05F0"/>
    <w:rsid w:val="7AEC7805"/>
    <w:rsid w:val="7AF5744D"/>
    <w:rsid w:val="7AF94FE5"/>
    <w:rsid w:val="7B12248F"/>
    <w:rsid w:val="7B1E208D"/>
    <w:rsid w:val="7B206431"/>
    <w:rsid w:val="7B2B06C7"/>
    <w:rsid w:val="7B2B779C"/>
    <w:rsid w:val="7B4851DF"/>
    <w:rsid w:val="7B485F71"/>
    <w:rsid w:val="7B5F164A"/>
    <w:rsid w:val="7B672C4D"/>
    <w:rsid w:val="7B6D0992"/>
    <w:rsid w:val="7B976AF9"/>
    <w:rsid w:val="7B9B535D"/>
    <w:rsid w:val="7BA3117B"/>
    <w:rsid w:val="7BD67EA0"/>
    <w:rsid w:val="7BFA20FB"/>
    <w:rsid w:val="7C3709F6"/>
    <w:rsid w:val="7C483429"/>
    <w:rsid w:val="7C49646C"/>
    <w:rsid w:val="7C524852"/>
    <w:rsid w:val="7C547083"/>
    <w:rsid w:val="7C783FFA"/>
    <w:rsid w:val="7C7A6A01"/>
    <w:rsid w:val="7C817AB4"/>
    <w:rsid w:val="7CAD301A"/>
    <w:rsid w:val="7CD20D26"/>
    <w:rsid w:val="7CEC74B4"/>
    <w:rsid w:val="7CFC3068"/>
    <w:rsid w:val="7D007A2F"/>
    <w:rsid w:val="7D0864A9"/>
    <w:rsid w:val="7D160D5D"/>
    <w:rsid w:val="7D2C66D1"/>
    <w:rsid w:val="7D2E5B0F"/>
    <w:rsid w:val="7D314175"/>
    <w:rsid w:val="7D3E6E97"/>
    <w:rsid w:val="7DAD22ED"/>
    <w:rsid w:val="7DAF1F40"/>
    <w:rsid w:val="7DBB5005"/>
    <w:rsid w:val="7DBD1D05"/>
    <w:rsid w:val="7DE85276"/>
    <w:rsid w:val="7DEF4E15"/>
    <w:rsid w:val="7E08693A"/>
    <w:rsid w:val="7E0C1293"/>
    <w:rsid w:val="7E2262E0"/>
    <w:rsid w:val="7E2B52F4"/>
    <w:rsid w:val="7E3178D0"/>
    <w:rsid w:val="7E346B9D"/>
    <w:rsid w:val="7E602C5A"/>
    <w:rsid w:val="7E605D6C"/>
    <w:rsid w:val="7E830234"/>
    <w:rsid w:val="7E863295"/>
    <w:rsid w:val="7E9465A7"/>
    <w:rsid w:val="7E996AEB"/>
    <w:rsid w:val="7EB40ACA"/>
    <w:rsid w:val="7EB775A1"/>
    <w:rsid w:val="7EB90B65"/>
    <w:rsid w:val="7EBC37CF"/>
    <w:rsid w:val="7EEB3813"/>
    <w:rsid w:val="7F056D8E"/>
    <w:rsid w:val="7F070DF1"/>
    <w:rsid w:val="7F1F7466"/>
    <w:rsid w:val="7F251510"/>
    <w:rsid w:val="7F2E23FA"/>
    <w:rsid w:val="7F2E698C"/>
    <w:rsid w:val="7F397F15"/>
    <w:rsid w:val="7F426996"/>
    <w:rsid w:val="7F4701B2"/>
    <w:rsid w:val="7F50451D"/>
    <w:rsid w:val="7F613D86"/>
    <w:rsid w:val="7F7967DA"/>
    <w:rsid w:val="7F9E7E08"/>
    <w:rsid w:val="7FA75F15"/>
    <w:rsid w:val="7FCB0E1E"/>
    <w:rsid w:val="7FCE5950"/>
    <w:rsid w:val="7FE80712"/>
    <w:rsid w:val="7FF5055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outlineLvl w:val="0"/>
    </w:pPr>
    <w:rPr>
      <w:rFonts w:eastAsia="华文新魏"/>
      <w:b/>
    </w:rPr>
  </w:style>
  <w:style w:type="paragraph" w:styleId="4">
    <w:name w:val="heading 2"/>
    <w:basedOn w:val="1"/>
    <w:next w:val="1"/>
    <w:link w:val="53"/>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4"/>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6"/>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57"/>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58"/>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59"/>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0"/>
    <w:qFormat/>
    <w:uiPriority w:val="0"/>
    <w:pPr>
      <w:keepNext/>
      <w:keepLines/>
      <w:spacing w:before="240" w:after="64" w:line="319" w:lineRule="auto"/>
      <w:outlineLvl w:val="8"/>
    </w:pPr>
    <w:rPr>
      <w:rFonts w:ascii="Arial" w:hAnsi="Arial" w:eastAsia="黑体"/>
      <w:szCs w:val="20"/>
    </w:rPr>
  </w:style>
  <w:style w:type="character" w:default="1" w:styleId="43">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3"/>
    <w:qFormat/>
    <w:uiPriority w:val="99"/>
    <w:pPr>
      <w:spacing w:after="120"/>
    </w:p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1"/>
    <w:qFormat/>
    <w:uiPriority w:val="99"/>
    <w:rPr>
      <w:rFonts w:ascii="宋体" w:eastAsia="华文新魏"/>
      <w:sz w:val="18"/>
      <w:szCs w:val="18"/>
    </w:rPr>
  </w:style>
  <w:style w:type="paragraph" w:styleId="15">
    <w:name w:val="annotation text"/>
    <w:basedOn w:val="1"/>
    <w:link w:val="62"/>
    <w:qFormat/>
    <w:uiPriority w:val="0"/>
    <w:pPr>
      <w:jc w:val="left"/>
    </w:pPr>
  </w:style>
  <w:style w:type="paragraph" w:styleId="16">
    <w:name w:val="Body Text Indent"/>
    <w:basedOn w:val="1"/>
    <w:link w:val="64"/>
    <w:qFormat/>
    <w:uiPriority w:val="99"/>
    <w:pPr>
      <w:spacing w:line="200" w:lineRule="exact"/>
      <w:ind w:firstLine="301"/>
    </w:pPr>
    <w:rPr>
      <w:rFonts w:ascii="宋体" w:eastAsia="华文新魏"/>
      <w:spacing w:val="-4"/>
      <w:sz w:val="18"/>
      <w:szCs w:val="20"/>
    </w:rPr>
  </w:style>
  <w:style w:type="paragraph" w:styleId="17">
    <w:name w:val="List 2"/>
    <w:basedOn w:val="1"/>
    <w:qFormat/>
    <w:uiPriority w:val="99"/>
    <w:pPr>
      <w:tabs>
        <w:tab w:val="left" w:pos="0"/>
      </w:tabs>
      <w:spacing w:line="360" w:lineRule="auto"/>
      <w:ind w:left="454"/>
    </w:pPr>
    <w:rPr>
      <w:rFonts w:eastAsia="华文新魏"/>
      <w:sz w:val="24"/>
    </w:rPr>
  </w:style>
  <w:style w:type="paragraph" w:styleId="18">
    <w:name w:val="toc 5"/>
    <w:basedOn w:val="1"/>
    <w:next w:val="1"/>
    <w:qFormat/>
    <w:uiPriority w:val="39"/>
    <w:pPr>
      <w:ind w:left="840"/>
      <w:jc w:val="left"/>
    </w:pPr>
    <w:rPr>
      <w:rFonts w:ascii="等线" w:hAnsi="等线" w:eastAsia="等线"/>
      <w:sz w:val="18"/>
      <w:szCs w:val="18"/>
    </w:rPr>
  </w:style>
  <w:style w:type="paragraph" w:styleId="19">
    <w:name w:val="toc 3"/>
    <w:basedOn w:val="1"/>
    <w:next w:val="1"/>
    <w:qFormat/>
    <w:uiPriority w:val="39"/>
    <w:pPr>
      <w:ind w:left="400" w:leftChars="400"/>
    </w:pPr>
    <w:rPr>
      <w:rFonts w:eastAsia="华文新魏"/>
    </w:rPr>
  </w:style>
  <w:style w:type="paragraph" w:styleId="20">
    <w:name w:val="Plain Text"/>
    <w:basedOn w:val="1"/>
    <w:next w:val="1"/>
    <w:link w:val="65"/>
    <w:qFormat/>
    <w:uiPriority w:val="0"/>
    <w:rPr>
      <w:rFonts w:ascii="宋体"/>
      <w:kern w:val="0"/>
      <w:sz w:val="20"/>
      <w:szCs w:val="20"/>
    </w:rPr>
  </w:style>
  <w:style w:type="paragraph" w:styleId="21">
    <w:name w:val="toc 8"/>
    <w:basedOn w:val="1"/>
    <w:next w:val="1"/>
    <w:qFormat/>
    <w:uiPriority w:val="39"/>
    <w:pPr>
      <w:ind w:left="1470"/>
      <w:jc w:val="left"/>
    </w:pPr>
    <w:rPr>
      <w:rFonts w:ascii="等线" w:hAnsi="等线" w:eastAsia="等线"/>
      <w:sz w:val="18"/>
      <w:szCs w:val="18"/>
    </w:rPr>
  </w:style>
  <w:style w:type="paragraph" w:styleId="22">
    <w:name w:val="Date"/>
    <w:basedOn w:val="1"/>
    <w:next w:val="1"/>
    <w:link w:val="66"/>
    <w:qFormat/>
    <w:uiPriority w:val="99"/>
    <w:pPr>
      <w:ind w:left="2500" w:leftChars="2500"/>
    </w:pPr>
    <w:rPr>
      <w:rFonts w:ascii="宋体" w:eastAsia="华文新魏"/>
      <w:bCs/>
      <w:sz w:val="24"/>
      <w:szCs w:val="20"/>
    </w:rPr>
  </w:style>
  <w:style w:type="paragraph" w:styleId="23">
    <w:name w:val="Body Text Indent 2"/>
    <w:basedOn w:val="1"/>
    <w:link w:val="67"/>
    <w:qFormat/>
    <w:uiPriority w:val="0"/>
    <w:pPr>
      <w:ind w:firstLine="196" w:firstLineChars="196"/>
    </w:pPr>
    <w:rPr>
      <w:rFonts w:eastAsia="华文新魏"/>
    </w:rPr>
  </w:style>
  <w:style w:type="paragraph" w:styleId="24">
    <w:name w:val="Balloon Text"/>
    <w:basedOn w:val="1"/>
    <w:link w:val="68"/>
    <w:qFormat/>
    <w:uiPriority w:val="99"/>
    <w:rPr>
      <w:rFonts w:eastAsia="华文新魏"/>
      <w:sz w:val="18"/>
      <w:szCs w:val="18"/>
    </w:rPr>
  </w:style>
  <w:style w:type="paragraph" w:styleId="25">
    <w:name w:val="footer"/>
    <w:basedOn w:val="1"/>
    <w:link w:val="69"/>
    <w:qFormat/>
    <w:uiPriority w:val="99"/>
    <w:pPr>
      <w:tabs>
        <w:tab w:val="center" w:pos="4153"/>
        <w:tab w:val="right" w:pos="8306"/>
      </w:tabs>
      <w:snapToGrid w:val="0"/>
      <w:jc w:val="left"/>
    </w:pPr>
    <w:rPr>
      <w:rFonts w:ascii="宋体"/>
      <w:kern w:val="0"/>
      <w:sz w:val="18"/>
      <w:szCs w:val="20"/>
    </w:rPr>
  </w:style>
  <w:style w:type="paragraph" w:styleId="26">
    <w:name w:val="header"/>
    <w:basedOn w:val="1"/>
    <w:link w:val="70"/>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7">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28">
    <w:name w:val="toc 4"/>
    <w:basedOn w:val="1"/>
    <w:next w:val="1"/>
    <w:qFormat/>
    <w:uiPriority w:val="39"/>
    <w:pPr>
      <w:ind w:left="630"/>
      <w:jc w:val="left"/>
    </w:pPr>
    <w:rPr>
      <w:rFonts w:ascii="等线" w:hAnsi="等线" w:eastAsia="等线"/>
      <w:sz w:val="18"/>
      <w:szCs w:val="18"/>
    </w:rPr>
  </w:style>
  <w:style w:type="paragraph" w:styleId="29">
    <w:name w:val="footnote text"/>
    <w:basedOn w:val="1"/>
    <w:link w:val="182"/>
    <w:unhideWhenUsed/>
    <w:qFormat/>
    <w:locked/>
    <w:uiPriority w:val="99"/>
    <w:pPr>
      <w:snapToGrid w:val="0"/>
      <w:jc w:val="left"/>
    </w:pPr>
    <w:rPr>
      <w:rFonts w:ascii="Calibri" w:hAnsi="Calibri"/>
      <w:sz w:val="18"/>
      <w:szCs w:val="18"/>
    </w:rPr>
  </w:style>
  <w:style w:type="paragraph" w:styleId="30">
    <w:name w:val="toc 6"/>
    <w:basedOn w:val="1"/>
    <w:next w:val="1"/>
    <w:qFormat/>
    <w:uiPriority w:val="39"/>
    <w:pPr>
      <w:ind w:left="1050"/>
      <w:jc w:val="left"/>
    </w:pPr>
    <w:rPr>
      <w:rFonts w:ascii="等线" w:hAnsi="等线" w:eastAsia="等线"/>
      <w:sz w:val="18"/>
      <w:szCs w:val="18"/>
    </w:rPr>
  </w:style>
  <w:style w:type="paragraph" w:styleId="31">
    <w:name w:val="Body Text Indent 3"/>
    <w:basedOn w:val="1"/>
    <w:link w:val="71"/>
    <w:qFormat/>
    <w:uiPriority w:val="99"/>
    <w:pPr>
      <w:spacing w:after="120"/>
      <w:ind w:left="200" w:leftChars="200"/>
    </w:pPr>
    <w:rPr>
      <w:rFonts w:eastAsia="华文新魏"/>
      <w:sz w:val="16"/>
      <w:szCs w:val="16"/>
    </w:rPr>
  </w:style>
  <w:style w:type="paragraph" w:styleId="32">
    <w:name w:val="toc 2"/>
    <w:basedOn w:val="1"/>
    <w:next w:val="1"/>
    <w:qFormat/>
    <w:uiPriority w:val="39"/>
    <w:rPr>
      <w:rFonts w:ascii="宋体" w:eastAsia="华文新魏" w:cs="Arial"/>
      <w:b/>
      <w:szCs w:val="21"/>
    </w:rPr>
  </w:style>
  <w:style w:type="paragraph" w:styleId="33">
    <w:name w:val="toc 9"/>
    <w:basedOn w:val="1"/>
    <w:next w:val="1"/>
    <w:qFormat/>
    <w:uiPriority w:val="39"/>
    <w:pPr>
      <w:ind w:left="1600" w:leftChars="1600"/>
    </w:pPr>
    <w:rPr>
      <w:rFonts w:eastAsia="华文新魏"/>
    </w:rPr>
  </w:style>
  <w:style w:type="paragraph" w:styleId="34">
    <w:name w:val="Body Text 2"/>
    <w:basedOn w:val="1"/>
    <w:link w:val="72"/>
    <w:qFormat/>
    <w:uiPriority w:val="99"/>
    <w:pPr>
      <w:spacing w:after="120" w:line="480" w:lineRule="auto"/>
    </w:pPr>
    <w:rPr>
      <w:rFonts w:eastAsia="华文新魏"/>
    </w:rPr>
  </w:style>
  <w:style w:type="paragraph" w:styleId="35">
    <w:name w:val="List 4"/>
    <w:basedOn w:val="1"/>
    <w:qFormat/>
    <w:uiPriority w:val="99"/>
    <w:pPr>
      <w:tabs>
        <w:tab w:val="left" w:pos="0"/>
      </w:tabs>
      <w:adjustRightInd w:val="0"/>
      <w:snapToGrid w:val="0"/>
      <w:spacing w:line="360" w:lineRule="auto"/>
      <w:ind w:left="1361"/>
    </w:pPr>
    <w:rPr>
      <w:rFonts w:eastAsia="华文新魏"/>
      <w:sz w:val="24"/>
    </w:rPr>
  </w:style>
  <w:style w:type="paragraph" w:styleId="36">
    <w:name w:val="HTML Preformatted"/>
    <w:basedOn w:val="1"/>
    <w:link w:val="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7">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38">
    <w:name w:val="index 1"/>
    <w:basedOn w:val="1"/>
    <w:next w:val="1"/>
    <w:qFormat/>
    <w:uiPriority w:val="99"/>
    <w:pPr>
      <w:spacing w:line="360" w:lineRule="auto"/>
    </w:pPr>
    <w:rPr>
      <w:rFonts w:ascii="宋体" w:eastAsia="华文新魏"/>
      <w:bCs/>
      <w:szCs w:val="21"/>
    </w:rPr>
  </w:style>
  <w:style w:type="paragraph" w:styleId="39">
    <w:name w:val="Title"/>
    <w:basedOn w:val="1"/>
    <w:link w:val="74"/>
    <w:qFormat/>
    <w:uiPriority w:val="0"/>
    <w:pPr>
      <w:spacing w:before="240" w:after="60"/>
      <w:jc w:val="center"/>
      <w:outlineLvl w:val="0"/>
    </w:pPr>
    <w:rPr>
      <w:rFonts w:ascii="Arial" w:hAnsi="Arial" w:eastAsia="华文新魏"/>
      <w:b/>
      <w:bCs/>
      <w:sz w:val="32"/>
      <w:szCs w:val="32"/>
    </w:rPr>
  </w:style>
  <w:style w:type="paragraph" w:styleId="40">
    <w:name w:val="annotation subject"/>
    <w:basedOn w:val="15"/>
    <w:next w:val="15"/>
    <w:link w:val="75"/>
    <w:qFormat/>
    <w:uiPriority w:val="99"/>
    <w:rPr>
      <w:rFonts w:eastAsia="华文新魏"/>
      <w:b/>
      <w:bCs/>
    </w:rPr>
  </w:style>
  <w:style w:type="paragraph" w:styleId="41">
    <w:name w:val="Body Text First Indent"/>
    <w:basedOn w:val="2"/>
    <w:link w:val="76"/>
    <w:qFormat/>
    <w:uiPriority w:val="99"/>
    <w:pPr>
      <w:ind w:firstLine="100" w:firstLineChars="100"/>
    </w:pPr>
  </w:style>
  <w:style w:type="character" w:styleId="44">
    <w:name w:val="Strong"/>
    <w:basedOn w:val="43"/>
    <w:qFormat/>
    <w:uiPriority w:val="99"/>
    <w:rPr>
      <w:rFonts w:ascii="Times New Roman" w:hAnsi="Times New Roman" w:eastAsia="华文新魏" w:cs="Times New Roman"/>
      <w:b/>
    </w:rPr>
  </w:style>
  <w:style w:type="character" w:styleId="45">
    <w:name w:val="page number"/>
    <w:basedOn w:val="43"/>
    <w:qFormat/>
    <w:uiPriority w:val="0"/>
    <w:rPr>
      <w:rFonts w:ascii="Times New Roman" w:hAnsi="Times New Roman" w:eastAsia="华文新魏" w:cs="Times New Roman"/>
    </w:rPr>
  </w:style>
  <w:style w:type="character" w:styleId="46">
    <w:name w:val="FollowedHyperlink"/>
    <w:basedOn w:val="43"/>
    <w:qFormat/>
    <w:uiPriority w:val="99"/>
    <w:rPr>
      <w:rFonts w:ascii="Times New Roman" w:hAnsi="Times New Roman" w:eastAsia="华文新魏" w:cs="Times New Roman"/>
      <w:color w:val="800080"/>
      <w:u w:val="single"/>
    </w:rPr>
  </w:style>
  <w:style w:type="character" w:styleId="47">
    <w:name w:val="Emphasis"/>
    <w:qFormat/>
    <w:uiPriority w:val="20"/>
    <w:rPr>
      <w:color w:val="CC0000"/>
    </w:rPr>
  </w:style>
  <w:style w:type="character" w:styleId="48">
    <w:name w:val="line number"/>
    <w:basedOn w:val="43"/>
    <w:qFormat/>
    <w:uiPriority w:val="99"/>
    <w:rPr>
      <w:rFonts w:ascii="Times New Roman" w:hAnsi="Times New Roman" w:eastAsia="华文新魏" w:cs="Times New Roman"/>
    </w:rPr>
  </w:style>
  <w:style w:type="character" w:styleId="49">
    <w:name w:val="Hyperlink"/>
    <w:basedOn w:val="43"/>
    <w:qFormat/>
    <w:uiPriority w:val="99"/>
    <w:rPr>
      <w:rFonts w:ascii="Times New Roman" w:hAnsi="Times New Roman" w:eastAsia="华文新魏" w:cs="Times New Roman"/>
      <w:color w:val="0000FF"/>
      <w:u w:val="single"/>
    </w:rPr>
  </w:style>
  <w:style w:type="character" w:styleId="50">
    <w:name w:val="annotation reference"/>
    <w:basedOn w:val="43"/>
    <w:qFormat/>
    <w:uiPriority w:val="99"/>
    <w:rPr>
      <w:rFonts w:ascii="Times New Roman" w:hAnsi="Times New Roman" w:eastAsia="华文新魏" w:cs="Times New Roman"/>
      <w:sz w:val="21"/>
    </w:rPr>
  </w:style>
  <w:style w:type="character" w:styleId="51">
    <w:name w:val="footnote reference"/>
    <w:unhideWhenUsed/>
    <w:qFormat/>
    <w:locked/>
    <w:uiPriority w:val="99"/>
    <w:rPr>
      <w:vertAlign w:val="superscript"/>
    </w:rPr>
  </w:style>
  <w:style w:type="character" w:customStyle="1" w:styleId="52">
    <w:name w:val="标题 1 Char"/>
    <w:basedOn w:val="43"/>
    <w:link w:val="3"/>
    <w:qFormat/>
    <w:locked/>
    <w:uiPriority w:val="99"/>
    <w:rPr>
      <w:rFonts w:ascii="Times New Roman" w:hAnsi="Times New Roman" w:eastAsia="华文新魏" w:cs="Times New Roman"/>
      <w:b/>
      <w:sz w:val="24"/>
      <w:szCs w:val="24"/>
    </w:rPr>
  </w:style>
  <w:style w:type="character" w:customStyle="1" w:styleId="53">
    <w:name w:val="标题 2 Char"/>
    <w:basedOn w:val="43"/>
    <w:link w:val="4"/>
    <w:qFormat/>
    <w:locked/>
    <w:uiPriority w:val="99"/>
    <w:rPr>
      <w:rFonts w:ascii="Arial" w:hAnsi="Arial" w:eastAsia="黑体" w:cs="Times New Roman"/>
      <w:b/>
      <w:kern w:val="0"/>
      <w:sz w:val="20"/>
      <w:szCs w:val="20"/>
    </w:rPr>
  </w:style>
  <w:style w:type="character" w:customStyle="1" w:styleId="54">
    <w:name w:val="标题 3 Char"/>
    <w:basedOn w:val="43"/>
    <w:link w:val="5"/>
    <w:qFormat/>
    <w:locked/>
    <w:uiPriority w:val="99"/>
    <w:rPr>
      <w:rFonts w:ascii="Times New Roman" w:hAnsi="Times New Roman" w:eastAsia="华文新魏" w:cs="Times New Roman"/>
      <w:b/>
      <w:bCs/>
      <w:sz w:val="32"/>
      <w:szCs w:val="32"/>
    </w:rPr>
  </w:style>
  <w:style w:type="character" w:customStyle="1" w:styleId="55">
    <w:name w:val="标题 4 Char"/>
    <w:basedOn w:val="43"/>
    <w:link w:val="6"/>
    <w:qFormat/>
    <w:locked/>
    <w:uiPriority w:val="99"/>
    <w:rPr>
      <w:rFonts w:ascii="Arial" w:hAnsi="Arial" w:eastAsia="黑体" w:cs="Times New Roman"/>
      <w:b/>
      <w:bCs/>
      <w:sz w:val="28"/>
      <w:szCs w:val="28"/>
    </w:rPr>
  </w:style>
  <w:style w:type="character" w:customStyle="1" w:styleId="56">
    <w:name w:val="标题 5 Char"/>
    <w:basedOn w:val="43"/>
    <w:link w:val="7"/>
    <w:qFormat/>
    <w:locked/>
    <w:uiPriority w:val="99"/>
    <w:rPr>
      <w:rFonts w:ascii="Times New Roman" w:hAnsi="Times New Roman" w:eastAsia="华文新魏" w:cs="Times New Roman"/>
      <w:b/>
      <w:sz w:val="20"/>
      <w:szCs w:val="20"/>
    </w:rPr>
  </w:style>
  <w:style w:type="character" w:customStyle="1" w:styleId="57">
    <w:name w:val="标题 6 Char"/>
    <w:basedOn w:val="43"/>
    <w:link w:val="9"/>
    <w:qFormat/>
    <w:locked/>
    <w:uiPriority w:val="99"/>
    <w:rPr>
      <w:rFonts w:ascii="Arial" w:hAnsi="Arial" w:eastAsia="黑体" w:cs="Times New Roman"/>
      <w:b/>
      <w:sz w:val="20"/>
      <w:szCs w:val="20"/>
    </w:rPr>
  </w:style>
  <w:style w:type="character" w:customStyle="1" w:styleId="58">
    <w:name w:val="标题 7 Char"/>
    <w:basedOn w:val="43"/>
    <w:link w:val="10"/>
    <w:qFormat/>
    <w:locked/>
    <w:uiPriority w:val="99"/>
    <w:rPr>
      <w:rFonts w:ascii="Times New Roman" w:hAnsi="Times New Roman" w:eastAsia="华文新魏" w:cs="Times New Roman"/>
      <w:b/>
      <w:sz w:val="20"/>
      <w:szCs w:val="20"/>
    </w:rPr>
  </w:style>
  <w:style w:type="character" w:customStyle="1" w:styleId="59">
    <w:name w:val="标题 8 Char"/>
    <w:basedOn w:val="43"/>
    <w:link w:val="11"/>
    <w:qFormat/>
    <w:locked/>
    <w:uiPriority w:val="99"/>
    <w:rPr>
      <w:rFonts w:ascii="Arial" w:hAnsi="Arial" w:eastAsia="黑体" w:cs="Times New Roman"/>
      <w:sz w:val="20"/>
      <w:szCs w:val="20"/>
    </w:rPr>
  </w:style>
  <w:style w:type="character" w:customStyle="1" w:styleId="60">
    <w:name w:val="标题 9 Char"/>
    <w:basedOn w:val="43"/>
    <w:link w:val="12"/>
    <w:qFormat/>
    <w:locked/>
    <w:uiPriority w:val="99"/>
    <w:rPr>
      <w:rFonts w:ascii="Arial" w:hAnsi="Arial" w:eastAsia="黑体" w:cs="Times New Roman"/>
      <w:sz w:val="20"/>
      <w:szCs w:val="20"/>
    </w:rPr>
  </w:style>
  <w:style w:type="character" w:customStyle="1" w:styleId="61">
    <w:name w:val="文档结构图 Char"/>
    <w:basedOn w:val="43"/>
    <w:link w:val="14"/>
    <w:qFormat/>
    <w:locked/>
    <w:uiPriority w:val="99"/>
    <w:rPr>
      <w:rFonts w:ascii="宋体" w:hAnsi="Times New Roman" w:eastAsia="华文新魏" w:cs="Times New Roman"/>
      <w:sz w:val="18"/>
      <w:szCs w:val="18"/>
    </w:rPr>
  </w:style>
  <w:style w:type="character" w:customStyle="1" w:styleId="62">
    <w:name w:val="批注文字 Char1"/>
    <w:basedOn w:val="43"/>
    <w:link w:val="15"/>
    <w:semiHidden/>
    <w:qFormat/>
    <w:locked/>
    <w:uiPriority w:val="99"/>
    <w:rPr>
      <w:rFonts w:ascii="Times New Roman" w:hAnsi="Times New Roman" w:eastAsia="宋体" w:cs="Times New Roman"/>
      <w:sz w:val="24"/>
      <w:szCs w:val="24"/>
    </w:rPr>
  </w:style>
  <w:style w:type="character" w:customStyle="1" w:styleId="63">
    <w:name w:val="正文文本 Char"/>
    <w:basedOn w:val="43"/>
    <w:link w:val="2"/>
    <w:semiHidden/>
    <w:qFormat/>
    <w:locked/>
    <w:uiPriority w:val="99"/>
    <w:rPr>
      <w:rFonts w:ascii="Times New Roman" w:hAnsi="Times New Roman" w:eastAsia="宋体" w:cs="Times New Roman"/>
      <w:sz w:val="24"/>
      <w:szCs w:val="24"/>
    </w:rPr>
  </w:style>
  <w:style w:type="character" w:customStyle="1" w:styleId="64">
    <w:name w:val="正文文本缩进 Char"/>
    <w:basedOn w:val="43"/>
    <w:link w:val="16"/>
    <w:qFormat/>
    <w:locked/>
    <w:uiPriority w:val="99"/>
    <w:rPr>
      <w:rFonts w:ascii="宋体" w:hAnsi="Times New Roman" w:eastAsia="华文新魏" w:cs="Times New Roman"/>
      <w:spacing w:val="-4"/>
      <w:sz w:val="20"/>
      <w:szCs w:val="20"/>
    </w:rPr>
  </w:style>
  <w:style w:type="character" w:customStyle="1" w:styleId="65">
    <w:name w:val="纯文本 Char"/>
    <w:basedOn w:val="43"/>
    <w:link w:val="20"/>
    <w:qFormat/>
    <w:locked/>
    <w:uiPriority w:val="99"/>
    <w:rPr>
      <w:rFonts w:ascii="宋体" w:hAnsi="Times New Roman" w:eastAsia="宋体" w:cs="Times New Roman"/>
    </w:rPr>
  </w:style>
  <w:style w:type="character" w:customStyle="1" w:styleId="66">
    <w:name w:val="日期 Char"/>
    <w:basedOn w:val="43"/>
    <w:link w:val="22"/>
    <w:qFormat/>
    <w:locked/>
    <w:uiPriority w:val="99"/>
    <w:rPr>
      <w:rFonts w:ascii="宋体" w:hAnsi="Times New Roman" w:eastAsia="华文新魏" w:cs="Times New Roman"/>
      <w:bCs/>
      <w:sz w:val="20"/>
      <w:szCs w:val="20"/>
    </w:rPr>
  </w:style>
  <w:style w:type="character" w:customStyle="1" w:styleId="67">
    <w:name w:val="正文文本缩进 2 Char"/>
    <w:basedOn w:val="43"/>
    <w:link w:val="23"/>
    <w:qFormat/>
    <w:locked/>
    <w:uiPriority w:val="99"/>
    <w:rPr>
      <w:rFonts w:ascii="Times New Roman" w:hAnsi="Times New Roman" w:eastAsia="华文新魏" w:cs="Times New Roman"/>
      <w:sz w:val="24"/>
      <w:szCs w:val="24"/>
    </w:rPr>
  </w:style>
  <w:style w:type="character" w:customStyle="1" w:styleId="68">
    <w:name w:val="批注框文本 Char"/>
    <w:basedOn w:val="43"/>
    <w:link w:val="24"/>
    <w:qFormat/>
    <w:locked/>
    <w:uiPriority w:val="99"/>
    <w:rPr>
      <w:rFonts w:ascii="Times New Roman" w:hAnsi="Times New Roman" w:eastAsia="华文新魏" w:cs="Times New Roman"/>
      <w:sz w:val="18"/>
      <w:szCs w:val="18"/>
    </w:rPr>
  </w:style>
  <w:style w:type="character" w:customStyle="1" w:styleId="69">
    <w:name w:val="页脚 Char"/>
    <w:basedOn w:val="43"/>
    <w:link w:val="25"/>
    <w:qFormat/>
    <w:locked/>
    <w:uiPriority w:val="99"/>
    <w:rPr>
      <w:rFonts w:ascii="宋体" w:hAnsi="Times New Roman" w:eastAsia="宋体" w:cs="Times New Roman"/>
      <w:sz w:val="18"/>
    </w:rPr>
  </w:style>
  <w:style w:type="character" w:customStyle="1" w:styleId="70">
    <w:name w:val="页眉 Char"/>
    <w:basedOn w:val="43"/>
    <w:link w:val="26"/>
    <w:qFormat/>
    <w:locked/>
    <w:uiPriority w:val="99"/>
    <w:rPr>
      <w:rFonts w:ascii="宋体" w:hAnsi="Times New Roman" w:eastAsia="华文新魏" w:cs="Times New Roman"/>
      <w:sz w:val="20"/>
      <w:szCs w:val="20"/>
    </w:rPr>
  </w:style>
  <w:style w:type="character" w:customStyle="1" w:styleId="71">
    <w:name w:val="正文文本缩进 3 Char"/>
    <w:basedOn w:val="43"/>
    <w:link w:val="31"/>
    <w:qFormat/>
    <w:locked/>
    <w:uiPriority w:val="99"/>
    <w:rPr>
      <w:rFonts w:ascii="Times New Roman" w:hAnsi="Times New Roman" w:eastAsia="华文新魏" w:cs="Times New Roman"/>
      <w:sz w:val="16"/>
      <w:szCs w:val="16"/>
    </w:rPr>
  </w:style>
  <w:style w:type="character" w:customStyle="1" w:styleId="72">
    <w:name w:val="正文文本 2 Char"/>
    <w:basedOn w:val="43"/>
    <w:link w:val="34"/>
    <w:qFormat/>
    <w:locked/>
    <w:uiPriority w:val="99"/>
    <w:rPr>
      <w:rFonts w:ascii="Times New Roman" w:hAnsi="Times New Roman" w:eastAsia="华文新魏" w:cs="Times New Roman"/>
      <w:sz w:val="24"/>
      <w:szCs w:val="24"/>
    </w:rPr>
  </w:style>
  <w:style w:type="character" w:customStyle="1" w:styleId="73">
    <w:name w:val="HTML 预设格式 Char"/>
    <w:basedOn w:val="43"/>
    <w:link w:val="36"/>
    <w:qFormat/>
    <w:locked/>
    <w:uiPriority w:val="99"/>
    <w:rPr>
      <w:rFonts w:ascii="Arial" w:hAnsi="Arial" w:eastAsia="华文新魏" w:cs="Arial"/>
      <w:kern w:val="0"/>
      <w:sz w:val="21"/>
      <w:szCs w:val="21"/>
    </w:rPr>
  </w:style>
  <w:style w:type="character" w:customStyle="1" w:styleId="74">
    <w:name w:val="标题 Char"/>
    <w:basedOn w:val="43"/>
    <w:link w:val="39"/>
    <w:qFormat/>
    <w:locked/>
    <w:uiPriority w:val="99"/>
    <w:rPr>
      <w:rFonts w:ascii="Arial" w:hAnsi="Arial" w:eastAsia="华文新魏" w:cs="Times New Roman"/>
      <w:b/>
      <w:bCs/>
      <w:sz w:val="32"/>
      <w:szCs w:val="32"/>
    </w:rPr>
  </w:style>
  <w:style w:type="character" w:customStyle="1" w:styleId="75">
    <w:name w:val="批注主题 Char"/>
    <w:basedOn w:val="62"/>
    <w:link w:val="40"/>
    <w:qFormat/>
    <w:locked/>
    <w:uiPriority w:val="99"/>
    <w:rPr>
      <w:rFonts w:eastAsia="华文新魏"/>
      <w:b/>
      <w:bCs/>
    </w:rPr>
  </w:style>
  <w:style w:type="character" w:customStyle="1" w:styleId="76">
    <w:name w:val="正文首行缩进 Char"/>
    <w:basedOn w:val="63"/>
    <w:link w:val="41"/>
    <w:qFormat/>
    <w:locked/>
    <w:uiPriority w:val="99"/>
  </w:style>
  <w:style w:type="character" w:customStyle="1" w:styleId="77">
    <w:name w:val="marklong"/>
    <w:qFormat/>
    <w:uiPriority w:val="99"/>
    <w:rPr>
      <w:rFonts w:ascii="Times New Roman" w:hAnsi="Times New Roman" w:eastAsia="华文新魏"/>
    </w:rPr>
  </w:style>
  <w:style w:type="character" w:customStyle="1" w:styleId="78">
    <w:name w:val="批注文字 Char"/>
    <w:qFormat/>
    <w:uiPriority w:val="0"/>
    <w:rPr>
      <w:rFonts w:ascii="Times New Roman" w:hAnsi="Times New Roman" w:eastAsia="宋体"/>
      <w:kern w:val="2"/>
      <w:sz w:val="24"/>
    </w:rPr>
  </w:style>
  <w:style w:type="character" w:customStyle="1" w:styleId="79">
    <w:name w:val="zi1"/>
    <w:qFormat/>
    <w:uiPriority w:val="99"/>
    <w:rPr>
      <w:rFonts w:ascii="??" w:hAnsi="??" w:eastAsia="华文新魏"/>
      <w:color w:val="000000"/>
      <w:sz w:val="22"/>
      <w:u w:val="none"/>
    </w:rPr>
  </w:style>
  <w:style w:type="character" w:customStyle="1" w:styleId="80">
    <w:name w:val="main141"/>
    <w:qFormat/>
    <w:uiPriority w:val="99"/>
    <w:rPr>
      <w:rFonts w:ascii="Times New Roman" w:hAnsi="Times New Roman" w:eastAsia="华文新魏"/>
      <w:sz w:val="21"/>
    </w:rPr>
  </w:style>
  <w:style w:type="character" w:customStyle="1" w:styleId="81">
    <w:name w:val="huei12b1"/>
    <w:qFormat/>
    <w:uiPriority w:val="99"/>
    <w:rPr>
      <w:rFonts w:ascii="Times New Roman" w:hAnsi="Times New Roman" w:eastAsia="华文新魏"/>
      <w:b/>
      <w:color w:val="333333"/>
      <w:sz w:val="18"/>
    </w:rPr>
  </w:style>
  <w:style w:type="character" w:customStyle="1" w:styleId="82">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3">
    <w:name w:val="纯文本 字符1"/>
    <w:qFormat/>
    <w:uiPriority w:val="99"/>
    <w:rPr>
      <w:rFonts w:ascii="宋体" w:hAnsi="Times New Roman" w:eastAsia="宋体"/>
      <w:sz w:val="21"/>
    </w:rPr>
  </w:style>
  <w:style w:type="character" w:customStyle="1" w:styleId="84">
    <w:name w:val="小标题 Char"/>
    <w:qFormat/>
    <w:uiPriority w:val="99"/>
    <w:rPr>
      <w:rFonts w:ascii="Times New Roman" w:hAnsi="Times New Roman" w:eastAsia="华文新魏"/>
      <w:b/>
      <w:kern w:val="2"/>
      <w:sz w:val="32"/>
    </w:rPr>
  </w:style>
  <w:style w:type="character" w:customStyle="1" w:styleId="85">
    <w:name w:val="px141"/>
    <w:qFormat/>
    <w:uiPriority w:val="99"/>
    <w:rPr>
      <w:rFonts w:ascii="Times New Roman" w:hAnsi="Times New Roman" w:eastAsia="华文新魏"/>
      <w:sz w:val="21"/>
    </w:rPr>
  </w:style>
  <w:style w:type="character" w:customStyle="1" w:styleId="86">
    <w:name w:val="普通文字 Char Char2"/>
    <w:qFormat/>
    <w:uiPriority w:val="99"/>
    <w:rPr>
      <w:rFonts w:ascii="宋体" w:hAnsi="Times New Roman" w:eastAsia="宋体"/>
      <w:sz w:val="21"/>
    </w:rPr>
  </w:style>
  <w:style w:type="character" w:customStyle="1" w:styleId="87">
    <w:name w:val="price7"/>
    <w:qFormat/>
    <w:uiPriority w:val="99"/>
    <w:rPr>
      <w:rFonts w:ascii="Times New Roman" w:hAnsi="Times New Roman" w:eastAsia="华文新魏"/>
      <w:color w:val="CC0000"/>
    </w:rPr>
  </w:style>
  <w:style w:type="character" w:customStyle="1" w:styleId="88">
    <w:name w:val="纯文本 Char1"/>
    <w:qFormat/>
    <w:uiPriority w:val="0"/>
    <w:rPr>
      <w:rFonts w:ascii="宋体" w:hAnsi="Times New Roman" w:eastAsia="宋体"/>
      <w:sz w:val="20"/>
    </w:rPr>
  </w:style>
  <w:style w:type="character" w:customStyle="1" w:styleId="89">
    <w:name w:val="纯文本 Char2"/>
    <w:qFormat/>
    <w:uiPriority w:val="0"/>
    <w:rPr>
      <w:rFonts w:ascii="宋体" w:hAnsi="Times New Roman" w:eastAsia="宋体"/>
      <w:kern w:val="2"/>
      <w:sz w:val="21"/>
      <w:lang w:val="en-US" w:eastAsia="zh-CN"/>
    </w:rPr>
  </w:style>
  <w:style w:type="character" w:customStyle="1" w:styleId="90">
    <w:name w:val="paramname3"/>
    <w:qFormat/>
    <w:uiPriority w:val="99"/>
    <w:rPr>
      <w:rFonts w:ascii="Times New Roman" w:hAnsi="Times New Roman" w:eastAsia="华文新魏"/>
    </w:rPr>
  </w:style>
  <w:style w:type="character" w:customStyle="1" w:styleId="91">
    <w:name w:val="h"/>
    <w:qFormat/>
    <w:uiPriority w:val="99"/>
    <w:rPr>
      <w:rFonts w:ascii="Times New Roman" w:hAnsi="Times New Roman" w:eastAsia="华文新魏"/>
    </w:rPr>
  </w:style>
  <w:style w:type="character" w:customStyle="1" w:styleId="92">
    <w:name w:val="style2"/>
    <w:qFormat/>
    <w:uiPriority w:val="99"/>
    <w:rPr>
      <w:rFonts w:ascii="Times New Roman" w:hAnsi="Times New Roman" w:eastAsia="华文新魏"/>
    </w:rPr>
  </w:style>
  <w:style w:type="character" w:customStyle="1" w:styleId="93">
    <w:name w:val="标题 4 Char2"/>
    <w:qFormat/>
    <w:uiPriority w:val="99"/>
    <w:rPr>
      <w:rFonts w:ascii="Arial" w:hAnsi="Arial" w:eastAsia="黑体"/>
      <w:sz w:val="28"/>
    </w:rPr>
  </w:style>
  <w:style w:type="character" w:customStyle="1" w:styleId="94">
    <w:name w:val="font01"/>
    <w:qFormat/>
    <w:uiPriority w:val="99"/>
    <w:rPr>
      <w:rFonts w:ascii="宋体" w:hAnsi="Times New Roman" w:eastAsia="宋体"/>
      <w:color w:val="000000"/>
      <w:sz w:val="20"/>
      <w:u w:val="none"/>
    </w:rPr>
  </w:style>
  <w:style w:type="character" w:customStyle="1" w:styleId="95">
    <w:name w:val="city3"/>
    <w:qFormat/>
    <w:uiPriority w:val="99"/>
    <w:rPr>
      <w:rFonts w:ascii="Times New Roman" w:hAnsi="Times New Roman" w:eastAsia="华文新魏"/>
      <w:color w:val="999999"/>
    </w:rPr>
  </w:style>
  <w:style w:type="character" w:customStyle="1" w:styleId="96">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97">
    <w:name w:val="text11"/>
    <w:qFormat/>
    <w:uiPriority w:val="99"/>
    <w:rPr>
      <w:rFonts w:ascii="Verdana" w:hAnsi="Verdana" w:eastAsia="华文新魏"/>
      <w:color w:val="4E4E4E"/>
      <w:sz w:val="18"/>
    </w:rPr>
  </w:style>
  <w:style w:type="character" w:customStyle="1" w:styleId="98">
    <w:name w:val="正文缩进 字符"/>
    <w:qFormat/>
    <w:uiPriority w:val="99"/>
    <w:rPr>
      <w:rFonts w:ascii="Verdana" w:hAnsi="Verdana" w:eastAsia="华文新魏"/>
      <w:kern w:val="2"/>
      <w:sz w:val="21"/>
    </w:rPr>
  </w:style>
  <w:style w:type="character" w:customStyle="1" w:styleId="99">
    <w:name w:val="纯文本 Char3"/>
    <w:basedOn w:val="43"/>
    <w:semiHidden/>
    <w:qFormat/>
    <w:uiPriority w:val="99"/>
    <w:rPr>
      <w:rFonts w:ascii="宋体" w:hAnsi="Courier New" w:eastAsia="宋体" w:cs="Courier New"/>
      <w:sz w:val="21"/>
      <w:szCs w:val="21"/>
    </w:rPr>
  </w:style>
  <w:style w:type="character" w:customStyle="1" w:styleId="100">
    <w:name w:val="页脚 Char1"/>
    <w:basedOn w:val="43"/>
    <w:semiHidden/>
    <w:qFormat/>
    <w:uiPriority w:val="99"/>
    <w:rPr>
      <w:rFonts w:ascii="Times New Roman" w:hAnsi="Times New Roman" w:eastAsia="宋体" w:cs="Times New Roman"/>
      <w:sz w:val="18"/>
      <w:szCs w:val="18"/>
    </w:rPr>
  </w:style>
  <w:style w:type="paragraph" w:customStyle="1" w:styleId="101">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2">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3">
    <w:name w:val="CSS1级编号"/>
    <w:basedOn w:val="1"/>
    <w:qFormat/>
    <w:uiPriority w:val="99"/>
    <w:pPr>
      <w:tabs>
        <w:tab w:val="left" w:pos="0"/>
      </w:tabs>
      <w:spacing w:line="360" w:lineRule="auto"/>
    </w:pPr>
    <w:rPr>
      <w:rFonts w:eastAsia="华文新魏"/>
      <w:sz w:val="24"/>
    </w:rPr>
  </w:style>
  <w:style w:type="paragraph" w:customStyle="1" w:styleId="104">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05">
    <w:name w:val="2"/>
    <w:basedOn w:val="1"/>
    <w:next w:val="20"/>
    <w:qFormat/>
    <w:uiPriority w:val="99"/>
    <w:rPr>
      <w:rFonts w:ascii="宋体" w:eastAsia="华文新魏"/>
      <w:szCs w:val="20"/>
    </w:rPr>
  </w:style>
  <w:style w:type="paragraph" w:customStyle="1" w:styleId="106">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07">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08">
    <w:name w:val="图B-"/>
    <w:basedOn w:val="1"/>
    <w:qFormat/>
    <w:uiPriority w:val="99"/>
    <w:pPr>
      <w:tabs>
        <w:tab w:val="left" w:pos="0"/>
      </w:tabs>
      <w:jc w:val="center"/>
    </w:pPr>
    <w:rPr>
      <w:rFonts w:eastAsia="黑体"/>
      <w:szCs w:val="21"/>
    </w:rPr>
  </w:style>
  <w:style w:type="paragraph" w:customStyle="1" w:styleId="109">
    <w:name w:val="3"/>
    <w:basedOn w:val="1"/>
    <w:next w:val="20"/>
    <w:qFormat/>
    <w:uiPriority w:val="99"/>
    <w:rPr>
      <w:rFonts w:ascii="宋体" w:eastAsia="华文新魏"/>
      <w:szCs w:val="20"/>
    </w:rPr>
  </w:style>
  <w:style w:type="paragraph" w:customStyle="1" w:styleId="110">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1">
    <w:name w:val="纯文本2"/>
    <w:basedOn w:val="1"/>
    <w:qFormat/>
    <w:uiPriority w:val="99"/>
    <w:pPr>
      <w:suppressAutoHyphens/>
    </w:pPr>
    <w:rPr>
      <w:rFonts w:ascii="宋体" w:eastAsia="华文新魏" w:cs="Courier New"/>
      <w:szCs w:val="21"/>
      <w:lang w:eastAsia="ar-SA"/>
    </w:rPr>
  </w:style>
  <w:style w:type="paragraph" w:customStyle="1" w:styleId="112">
    <w:name w:val="1"/>
    <w:basedOn w:val="1"/>
    <w:next w:val="20"/>
    <w:qFormat/>
    <w:uiPriority w:val="99"/>
    <w:rPr>
      <w:rFonts w:ascii="宋体" w:eastAsia="华文新魏"/>
      <w:szCs w:val="20"/>
    </w:rPr>
  </w:style>
  <w:style w:type="paragraph" w:customStyle="1" w:styleId="113">
    <w:name w:val="项目-正文"/>
    <w:basedOn w:val="1"/>
    <w:qFormat/>
    <w:uiPriority w:val="99"/>
    <w:pPr>
      <w:spacing w:line="360" w:lineRule="auto"/>
      <w:ind w:firstLine="200" w:firstLineChars="200"/>
    </w:pPr>
    <w:rPr>
      <w:rFonts w:eastAsia="华文新魏"/>
      <w:kern w:val="0"/>
      <w:sz w:val="28"/>
      <w:szCs w:val="28"/>
    </w:rPr>
  </w:style>
  <w:style w:type="paragraph" w:customStyle="1" w:styleId="114">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15">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1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17">
    <w:name w:val="列出段落1"/>
    <w:basedOn w:val="1"/>
    <w:qFormat/>
    <w:uiPriority w:val="99"/>
    <w:pPr>
      <w:ind w:firstLine="200" w:firstLineChars="200"/>
    </w:pPr>
    <w:rPr>
      <w:rFonts w:ascii="Calibri" w:hAnsi="Calibri" w:eastAsia="华文新魏" w:cs="Calibri"/>
      <w:szCs w:val="21"/>
    </w:rPr>
  </w:style>
  <w:style w:type="paragraph" w:customStyle="1" w:styleId="118">
    <w:name w:val="字元"/>
    <w:basedOn w:val="1"/>
    <w:qFormat/>
    <w:uiPriority w:val="99"/>
    <w:pPr>
      <w:widowControl/>
      <w:tabs>
        <w:tab w:val="left" w:pos="4665"/>
        <w:tab w:val="left" w:pos="8970"/>
      </w:tabs>
      <w:ind w:firstLine="400"/>
    </w:pPr>
    <w:rPr>
      <w:rFonts w:eastAsia="华文新魏"/>
      <w:szCs w:val="22"/>
    </w:rPr>
  </w:style>
  <w:style w:type="paragraph" w:customStyle="1" w:styleId="119">
    <w:name w:val="方案正文"/>
    <w:basedOn w:val="1"/>
    <w:qFormat/>
    <w:uiPriority w:val="99"/>
    <w:pPr>
      <w:spacing w:line="360" w:lineRule="auto"/>
      <w:ind w:firstLine="420"/>
    </w:pPr>
    <w:rPr>
      <w:rFonts w:ascii="宋体" w:eastAsia="华文新魏" w:cs="宋体"/>
      <w:sz w:val="24"/>
    </w:rPr>
  </w:style>
  <w:style w:type="paragraph" w:customStyle="1" w:styleId="120">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1">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2">
    <w:name w:val="正文11"/>
    <w:qFormat/>
    <w:uiPriority w:val="99"/>
    <w:pPr>
      <w:ind w:firstLine="200" w:firstLineChars="200"/>
    </w:pPr>
    <w:rPr>
      <w:rFonts w:ascii="Times New Roman" w:hAnsi="Times New Roman" w:eastAsia="宋体" w:cs="宋体"/>
      <w:lang w:val="en-US" w:eastAsia="zh-CN" w:bidi="ar-SA"/>
    </w:rPr>
  </w:style>
  <w:style w:type="paragraph" w:customStyle="1" w:styleId="123">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4">
    <w:name w:val="表A-"/>
    <w:basedOn w:val="1"/>
    <w:qFormat/>
    <w:uiPriority w:val="99"/>
    <w:pPr>
      <w:tabs>
        <w:tab w:val="left" w:pos="0"/>
      </w:tabs>
      <w:jc w:val="center"/>
    </w:pPr>
    <w:rPr>
      <w:rFonts w:eastAsia="华文新魏"/>
      <w:szCs w:val="21"/>
    </w:rPr>
  </w:style>
  <w:style w:type="paragraph" w:customStyle="1" w:styleId="125">
    <w:name w:val="修订1"/>
    <w:qFormat/>
    <w:uiPriority w:val="99"/>
    <w:rPr>
      <w:rFonts w:ascii="Times New Roman" w:hAnsi="Times New Roman" w:eastAsia="宋体" w:cs="Times New Roman"/>
      <w:kern w:val="2"/>
      <w:sz w:val="21"/>
      <w:szCs w:val="24"/>
      <w:lang w:val="en-US" w:eastAsia="zh-CN" w:bidi="ar-SA"/>
    </w:rPr>
  </w:style>
  <w:style w:type="paragraph" w:customStyle="1" w:styleId="126">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27">
    <w:name w:val="Char1 Char Char Char"/>
    <w:basedOn w:val="1"/>
    <w:qFormat/>
    <w:uiPriority w:val="0"/>
    <w:rPr>
      <w:rFonts w:eastAsia="华文新魏"/>
    </w:rPr>
  </w:style>
  <w:style w:type="paragraph" w:customStyle="1" w:styleId="128">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9">
    <w:name w:val="默认段落字体 Para Char"/>
    <w:basedOn w:val="1"/>
    <w:qFormat/>
    <w:uiPriority w:val="99"/>
    <w:rPr>
      <w:rFonts w:eastAsia="华文新魏"/>
    </w:rPr>
  </w:style>
  <w:style w:type="paragraph" w:customStyle="1" w:styleId="13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1">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2">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4">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35">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6">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37">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3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9">
    <w:name w:val="正文首行缩进两字符"/>
    <w:basedOn w:val="1"/>
    <w:qFormat/>
    <w:uiPriority w:val="99"/>
    <w:pPr>
      <w:spacing w:line="360" w:lineRule="auto"/>
      <w:ind w:firstLine="200" w:firstLineChars="200"/>
    </w:pPr>
    <w:rPr>
      <w:rFonts w:eastAsia="华文新魏"/>
      <w:kern w:val="0"/>
      <w:sz w:val="24"/>
    </w:rPr>
  </w:style>
  <w:style w:type="paragraph" w:customStyle="1" w:styleId="140">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1">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2">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3">
    <w:name w:val="Char Char Char1 Char"/>
    <w:basedOn w:val="1"/>
    <w:qFormat/>
    <w:uiPriority w:val="99"/>
    <w:rPr>
      <w:rFonts w:ascii="Tahoma" w:hAnsi="Tahoma" w:eastAsia="华文新魏"/>
      <w:sz w:val="24"/>
    </w:rPr>
  </w:style>
  <w:style w:type="paragraph" w:customStyle="1" w:styleId="144">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5">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4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7">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48">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49">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0">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1">
    <w:name w:val="纯文本1"/>
    <w:basedOn w:val="1"/>
    <w:qFormat/>
    <w:uiPriority w:val="0"/>
    <w:pPr>
      <w:suppressAutoHyphens/>
    </w:pPr>
    <w:rPr>
      <w:rFonts w:ascii="宋体" w:eastAsia="华文新魏"/>
      <w:sz w:val="20"/>
      <w:szCs w:val="21"/>
      <w:lang w:eastAsia="ar-SA"/>
    </w:rPr>
  </w:style>
  <w:style w:type="paragraph" w:customStyle="1" w:styleId="15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3">
    <w:name w:val="列出段落2"/>
    <w:basedOn w:val="1"/>
    <w:qFormat/>
    <w:uiPriority w:val="99"/>
    <w:pPr>
      <w:ind w:firstLine="200" w:firstLineChars="200"/>
    </w:pPr>
    <w:rPr>
      <w:rFonts w:eastAsia="华文新魏"/>
    </w:rPr>
  </w:style>
  <w:style w:type="paragraph" w:customStyle="1" w:styleId="15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6">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7">
    <w:name w:val="4"/>
    <w:basedOn w:val="1"/>
    <w:next w:val="20"/>
    <w:qFormat/>
    <w:uiPriority w:val="99"/>
    <w:rPr>
      <w:rFonts w:ascii="宋体" w:eastAsia="华文新魏"/>
      <w:szCs w:val="20"/>
    </w:rPr>
  </w:style>
  <w:style w:type="paragraph" w:customStyle="1" w:styleId="15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59">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0">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1">
    <w:name w:val="样式 目录 1"/>
    <w:basedOn w:val="27"/>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3">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4">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5">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6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7">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68">
    <w:name w:val="p0"/>
    <w:basedOn w:val="1"/>
    <w:qFormat/>
    <w:uiPriority w:val="99"/>
    <w:pPr>
      <w:widowControl/>
    </w:pPr>
    <w:rPr>
      <w:rFonts w:eastAsia="华文新魏"/>
      <w:kern w:val="0"/>
      <w:szCs w:val="21"/>
    </w:rPr>
  </w:style>
  <w:style w:type="paragraph" w:customStyle="1" w:styleId="16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0">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1">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3">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4">
    <w:name w:val="param-value"/>
    <w:qFormat/>
    <w:uiPriority w:val="0"/>
  </w:style>
  <w:style w:type="character" w:customStyle="1" w:styleId="175">
    <w:name w:val="纯文本 字符"/>
    <w:qFormat/>
    <w:uiPriority w:val="99"/>
    <w:rPr>
      <w:rFonts w:ascii="Ђˎ̥" w:hAnsi="Verdana" w:eastAsia="Ђˎ̥" w:cs="Verdana"/>
      <w:szCs w:val="21"/>
    </w:rPr>
  </w:style>
  <w:style w:type="character" w:customStyle="1" w:styleId="176">
    <w:name w:val="正文文本_"/>
    <w:basedOn w:val="43"/>
    <w:link w:val="177"/>
    <w:qFormat/>
    <w:uiPriority w:val="0"/>
    <w:rPr>
      <w:rFonts w:ascii="Arial Unicode MS" w:hAnsi="Arial Unicode MS" w:eastAsia="Arial Unicode MS" w:cs="Arial Unicode MS"/>
      <w:shd w:val="clear" w:color="auto" w:fill="FFFFFF"/>
    </w:rPr>
  </w:style>
  <w:style w:type="paragraph" w:customStyle="1" w:styleId="177">
    <w:name w:val="正文文本10"/>
    <w:basedOn w:val="1"/>
    <w:link w:val="176"/>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78">
    <w:name w:val="脚注文本 Char"/>
    <w:qFormat/>
    <w:uiPriority w:val="99"/>
    <w:rPr>
      <w:kern w:val="2"/>
      <w:sz w:val="18"/>
      <w:szCs w:val="18"/>
    </w:rPr>
  </w:style>
  <w:style w:type="character" w:customStyle="1" w:styleId="179">
    <w:name w:val="普通文字 Char Char4"/>
    <w:qFormat/>
    <w:uiPriority w:val="0"/>
    <w:rPr>
      <w:rFonts w:ascii="宋体" w:eastAsia="宋体" w:cs="Courier New"/>
      <w:kern w:val="2"/>
      <w:sz w:val="21"/>
      <w:szCs w:val="21"/>
      <w:lang w:val="en-US" w:eastAsia="zh-CN" w:bidi="ar-SA"/>
    </w:rPr>
  </w:style>
  <w:style w:type="character" w:customStyle="1" w:styleId="180">
    <w:name w:val="正文文本 + MingLiU"/>
    <w:basedOn w:val="43"/>
    <w:qFormat/>
    <w:uiPriority w:val="0"/>
    <w:rPr>
      <w:rFonts w:ascii="MingLiU" w:hAnsi="MingLiU" w:eastAsia="MingLiU" w:cs="MingLiU"/>
      <w:color w:val="000000"/>
      <w:spacing w:val="0"/>
      <w:w w:val="100"/>
      <w:position w:val="0"/>
      <w:sz w:val="16"/>
      <w:szCs w:val="16"/>
      <w:u w:val="none"/>
      <w:lang w:val="zh-TW"/>
    </w:rPr>
  </w:style>
  <w:style w:type="character" w:customStyle="1" w:styleId="181">
    <w:name w:val="正文文本 + Batang"/>
    <w:basedOn w:val="176"/>
    <w:qFormat/>
    <w:uiPriority w:val="0"/>
  </w:style>
  <w:style w:type="character" w:customStyle="1" w:styleId="182">
    <w:name w:val="脚注文本 Char1"/>
    <w:basedOn w:val="43"/>
    <w:link w:val="29"/>
    <w:semiHidden/>
    <w:qFormat/>
    <w:uiPriority w:val="99"/>
    <w:rPr>
      <w:rFonts w:ascii="Times New Roman" w:hAnsi="Times New Roman"/>
      <w:kern w:val="2"/>
      <w:sz w:val="18"/>
      <w:szCs w:val="18"/>
    </w:rPr>
  </w:style>
  <w:style w:type="paragraph" w:customStyle="1" w:styleId="183">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4">
    <w:name w:val="_Style 12"/>
    <w:basedOn w:val="1"/>
    <w:qFormat/>
    <w:uiPriority w:val="0"/>
    <w:pPr>
      <w:spacing w:line="360" w:lineRule="auto"/>
      <w:ind w:firstLine="200" w:firstLineChars="200"/>
    </w:pPr>
    <w:rPr>
      <w:rFonts w:ascii="Arial" w:hAnsi="Arial"/>
      <w:kern w:val="0"/>
      <w:sz w:val="24"/>
    </w:rPr>
  </w:style>
  <w:style w:type="paragraph" w:customStyle="1" w:styleId="185">
    <w:name w:val="Char Char Char Char Char Char Char Char Char"/>
    <w:basedOn w:val="1"/>
    <w:qFormat/>
    <w:uiPriority w:val="0"/>
    <w:pPr>
      <w:widowControl/>
      <w:spacing w:after="160" w:line="240" w:lineRule="exact"/>
      <w:jc w:val="left"/>
    </w:pPr>
  </w:style>
  <w:style w:type="paragraph" w:customStyle="1" w:styleId="186">
    <w:name w:val="彩色底纹 - 着色 11"/>
    <w:qFormat/>
    <w:uiPriority w:val="0"/>
    <w:rPr>
      <w:rFonts w:ascii="Calibri" w:hAnsi="Calibri" w:eastAsia="宋体" w:cs="Times New Roman"/>
      <w:kern w:val="2"/>
      <w:sz w:val="21"/>
      <w:szCs w:val="22"/>
      <w:lang w:val="en-US" w:eastAsia="zh-CN" w:bidi="ar-SA"/>
    </w:rPr>
  </w:style>
  <w:style w:type="paragraph" w:customStyle="1" w:styleId="187">
    <w:name w:val="修订2"/>
    <w:qFormat/>
    <w:uiPriority w:val="0"/>
    <w:rPr>
      <w:rFonts w:ascii="Calibri" w:hAnsi="Calibri" w:eastAsia="宋体" w:cs="Times New Roman"/>
      <w:kern w:val="2"/>
      <w:sz w:val="21"/>
      <w:szCs w:val="22"/>
      <w:lang w:val="en-US" w:eastAsia="zh-CN" w:bidi="ar-SA"/>
    </w:rPr>
  </w:style>
  <w:style w:type="paragraph" w:customStyle="1" w:styleId="188">
    <w:name w:val="正文文字"/>
    <w:basedOn w:val="1"/>
    <w:qFormat/>
    <w:uiPriority w:val="0"/>
    <w:pPr>
      <w:spacing w:before="60" w:after="60" w:line="360" w:lineRule="auto"/>
      <w:ind w:firstLine="200" w:firstLineChars="200"/>
      <w:jc w:val="left"/>
    </w:pPr>
    <w:rPr>
      <w:sz w:val="24"/>
    </w:rPr>
  </w:style>
  <w:style w:type="paragraph" w:customStyle="1" w:styleId="189">
    <w:name w:val="List Paragraph1"/>
    <w:basedOn w:val="1"/>
    <w:qFormat/>
    <w:uiPriority w:val="0"/>
    <w:pPr>
      <w:ind w:firstLine="420" w:firstLineChars="200"/>
    </w:pPr>
  </w:style>
  <w:style w:type="paragraph" w:styleId="19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100" textRotate="1"/>
    <customShpInfo spid="_x0000_s410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51</Pages>
  <Words>5081</Words>
  <Characters>28962</Characters>
  <Lines>241</Lines>
  <Paragraphs>67</Paragraphs>
  <TotalTime>4</TotalTime>
  <ScaleCrop>false</ScaleCrop>
  <LinksUpToDate>false</LinksUpToDate>
  <CharactersWithSpaces>33976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2019-07-24T02:30:00Z</dcterms:created>
  <dc:creator>Administrator</dc:creator>
  <cp:lastModifiedBy>Administrator</cp:lastModifiedBy>
  <cp:lastPrinted>2022-05-11T01:28:00Z</cp:lastPrinted>
  <dcterms:modified xsi:type="dcterms:W3CDTF">2022-06-13T07:53:43Z</dcterms:modified>
  <dc:title>广西科联招标中心有限公司</dc:title>
  <cp:revision>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