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eastAsia="宋体"/>
          <w:sz w:val="36"/>
          <w:szCs w:val="36"/>
        </w:rPr>
      </w:pPr>
      <w:r>
        <w:rPr>
          <w:rFonts w:hint="eastAsia" w:ascii="宋体" w:hAnsi="宋体" w:eastAsia="宋体"/>
          <w:sz w:val="36"/>
          <w:szCs w:val="36"/>
        </w:rPr>
        <w:t>国家税务总局南宁高新技术产业开发区税务局互联网光纤专线服务采购</w:t>
      </w:r>
      <w:r>
        <w:rPr>
          <w:rFonts w:hint="eastAsia" w:ascii="宋体" w:hAnsi="宋体" w:eastAsia="宋体"/>
          <w:sz w:val="36"/>
          <w:szCs w:val="36"/>
          <w:lang w:eastAsia="zh-CN"/>
        </w:rPr>
        <w:t>（GXNNSW2022-C3-1-58-XYGC）</w:t>
      </w:r>
      <w:r>
        <w:rPr>
          <w:rFonts w:hint="eastAsia" w:ascii="宋体" w:hAnsi="宋体" w:eastAsia="宋体"/>
          <w:sz w:val="36"/>
          <w:szCs w:val="36"/>
        </w:rPr>
        <w:t>磋商公告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Cs w:val="21"/>
        </w:rPr>
      </w:pPr>
      <w:bookmarkStart w:id="0" w:name="_Hlk37430271"/>
      <w:r>
        <w:rPr>
          <w:rFonts w:hint="eastAsia" w:ascii="宋体" w:hAnsi="宋体" w:eastAsia="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Cs w:val="21"/>
        </w:rPr>
      </w:pPr>
      <w:r>
        <w:rPr>
          <w:rFonts w:hint="eastAsia" w:ascii="宋体" w:hAnsi="宋体" w:eastAsia="宋体" w:cs="宋体"/>
          <w:szCs w:val="21"/>
          <w:u w:val="single"/>
        </w:rPr>
        <w:t xml:space="preserve"> 国家税务总局南宁高新技术产业开发区税务局互联网光纤专线服务采购 </w:t>
      </w:r>
      <w:r>
        <w:rPr>
          <w:rFonts w:hint="eastAsia" w:ascii="宋体" w:hAnsi="宋体" w:eastAsia="宋体" w:cs="宋体"/>
          <w:szCs w:val="21"/>
        </w:rPr>
        <w:t>项目的潜在供应商应在</w:t>
      </w:r>
      <w:r>
        <w:rPr>
          <w:rFonts w:hint="eastAsia" w:ascii="宋体" w:hAnsi="宋体" w:eastAsia="宋体" w:cs="宋体"/>
          <w:szCs w:val="21"/>
          <w:u w:val="single"/>
        </w:rPr>
        <w:t>广西信永工程咨询有限责任公司（南宁市青秀区中柬路9号利海•亚洲国际4号楼领峰A座610室）</w:t>
      </w:r>
      <w:r>
        <w:rPr>
          <w:rFonts w:hint="eastAsia" w:ascii="宋体" w:hAnsi="宋体" w:eastAsia="宋体" w:cs="宋体"/>
          <w:szCs w:val="21"/>
        </w:rPr>
        <w:t>获取磋商文件，并于</w:t>
      </w:r>
      <w:r>
        <w:rPr>
          <w:rFonts w:hint="eastAsia" w:ascii="宋体" w:hAnsi="宋体" w:eastAsia="宋体" w:cs="宋体"/>
          <w:szCs w:val="21"/>
          <w:u w:val="single"/>
          <w:lang w:val="en-US" w:eastAsia="zh-CN"/>
        </w:rPr>
        <w:t>2023</w:t>
      </w:r>
      <w:r>
        <w:rPr>
          <w:rFonts w:hint="eastAsia" w:ascii="宋体" w:hAnsi="宋体" w:eastAsia="宋体" w:cs="宋体"/>
          <w:szCs w:val="21"/>
          <w:u w:val="single"/>
        </w:rPr>
        <w:t>年</w:t>
      </w:r>
      <w:r>
        <w:rPr>
          <w:rFonts w:hint="eastAsia" w:ascii="宋体" w:hAnsi="宋体" w:eastAsia="宋体" w:cs="宋体"/>
          <w:szCs w:val="21"/>
          <w:u w:val="single"/>
          <w:lang w:val="en-US" w:eastAsia="zh-CN"/>
        </w:rPr>
        <w:t>1</w:t>
      </w:r>
      <w:r>
        <w:rPr>
          <w:rFonts w:hint="eastAsia" w:ascii="宋体" w:hAnsi="宋体" w:eastAsia="宋体" w:cs="宋体"/>
          <w:szCs w:val="21"/>
          <w:u w:val="single"/>
        </w:rPr>
        <w:t>月</w:t>
      </w:r>
      <w:r>
        <w:rPr>
          <w:rFonts w:hint="eastAsia" w:ascii="宋体" w:hAnsi="宋体" w:eastAsia="宋体" w:cs="宋体"/>
          <w:szCs w:val="21"/>
          <w:u w:val="single"/>
          <w:lang w:val="en-US" w:eastAsia="zh-CN"/>
        </w:rPr>
        <w:t>10</w:t>
      </w:r>
      <w:r>
        <w:rPr>
          <w:rFonts w:hint="eastAsia" w:ascii="宋体" w:hAnsi="宋体" w:eastAsia="宋体" w:cs="宋体"/>
          <w:szCs w:val="21"/>
          <w:u w:val="single"/>
        </w:rPr>
        <w:t>日1</w:t>
      </w:r>
      <w:r>
        <w:rPr>
          <w:rFonts w:hint="eastAsia" w:ascii="宋体" w:hAnsi="宋体" w:eastAsia="宋体" w:cs="宋体"/>
          <w:szCs w:val="21"/>
          <w:u w:val="single"/>
          <w:lang w:val="en-US" w:eastAsia="zh-CN"/>
        </w:rPr>
        <w:t>5</w:t>
      </w:r>
      <w:r>
        <w:rPr>
          <w:rFonts w:hint="eastAsia" w:ascii="宋体" w:hAnsi="宋体" w:eastAsia="宋体" w:cs="宋体"/>
          <w:szCs w:val="21"/>
          <w:u w:val="single"/>
        </w:rPr>
        <w:t>时00分</w:t>
      </w:r>
      <w:r>
        <w:rPr>
          <w:rFonts w:hint="eastAsia" w:ascii="宋体" w:hAnsi="宋体" w:eastAsia="宋体" w:cs="宋体"/>
          <w:bCs/>
          <w:szCs w:val="21"/>
        </w:rPr>
        <w:t>（北京时间）前提交响应文件</w:t>
      </w:r>
      <w:r>
        <w:rPr>
          <w:rFonts w:hint="eastAsia" w:ascii="宋体" w:hAnsi="宋体" w:eastAsia="宋体" w:cs="宋体"/>
          <w:szCs w:val="21"/>
        </w:rPr>
        <w:t>。</w:t>
      </w:r>
    </w:p>
    <w:p>
      <w:pPr>
        <w:pStyle w:val="4"/>
        <w:pageBreakBefore w:val="0"/>
        <w:widowControl w:val="0"/>
        <w:kinsoku/>
        <w:overflowPunct/>
        <w:topLinePunct w:val="0"/>
        <w:autoSpaceDE/>
        <w:autoSpaceDN/>
        <w:bidi w:val="0"/>
        <w:adjustRightInd/>
        <w:snapToGrid/>
        <w:spacing w:before="0" w:after="0" w:line="440" w:lineRule="exact"/>
        <w:ind w:firstLine="482" w:firstLineChars="200"/>
        <w:textAlignment w:val="auto"/>
        <w:rPr>
          <w:rFonts w:hint="eastAsia" w:ascii="宋体" w:hAnsi="宋体" w:eastAsia="宋体" w:cs="宋体"/>
          <w:bCs w:val="0"/>
          <w:sz w:val="24"/>
          <w:szCs w:val="24"/>
        </w:rPr>
      </w:pPr>
      <w:bookmarkStart w:id="1" w:name="_Toc44229878"/>
      <w:bookmarkStart w:id="2" w:name="_Toc28359089"/>
      <w:bookmarkStart w:id="3" w:name="_Toc29199"/>
      <w:bookmarkStart w:id="4" w:name="_Toc35393629"/>
      <w:bookmarkStart w:id="5" w:name="_Toc9390"/>
      <w:bookmarkStart w:id="6" w:name="_Toc28359012"/>
      <w:bookmarkStart w:id="7" w:name="_Toc35393798"/>
      <w:r>
        <w:rPr>
          <w:rFonts w:hint="eastAsia" w:ascii="宋体" w:hAnsi="宋体" w:eastAsia="宋体" w:cs="宋体"/>
          <w:bCs w:val="0"/>
          <w:sz w:val="24"/>
          <w:szCs w:val="24"/>
        </w:rPr>
        <w:t>一、项目基本情况</w:t>
      </w:r>
      <w:bookmarkEnd w:id="1"/>
      <w:bookmarkEnd w:id="2"/>
      <w:bookmarkEnd w:id="3"/>
      <w:bookmarkEnd w:id="4"/>
      <w:bookmarkEnd w:id="5"/>
      <w:bookmarkEnd w:id="6"/>
      <w:bookmarkEnd w:id="7"/>
    </w:p>
    <w:p>
      <w:pPr>
        <w:pageBreakBefore w:val="0"/>
        <w:widowControl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szCs w:val="21"/>
          <w:lang w:eastAsia="zh-CN"/>
        </w:rPr>
        <w:t>GXNNSW2022-C3-1-58-XYGC</w:t>
      </w:r>
    </w:p>
    <w:p>
      <w:pPr>
        <w:pageBreakBefore w:val="0"/>
        <w:widowControl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u w:val="single"/>
        </w:rPr>
      </w:pPr>
      <w:r>
        <w:rPr>
          <w:rFonts w:hint="eastAsia" w:ascii="宋体" w:hAnsi="宋体" w:eastAsia="宋体" w:cs="宋体"/>
          <w:szCs w:val="21"/>
        </w:rPr>
        <w:t>项目名称：</w:t>
      </w:r>
      <w:r>
        <w:rPr>
          <w:rFonts w:hint="eastAsia" w:ascii="宋体" w:hAnsi="宋体" w:eastAsia="宋体" w:cs="宋体"/>
          <w:color w:val="auto"/>
          <w:szCs w:val="21"/>
        </w:rPr>
        <w:t>国家税务总局南宁高新技术产业开发区税务局互联网光纤专线服务采购</w:t>
      </w:r>
    </w:p>
    <w:p>
      <w:pPr>
        <w:pageBreakBefore w:val="0"/>
        <w:widowControl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采购方式：磋商</w:t>
      </w:r>
    </w:p>
    <w:p>
      <w:pPr>
        <w:pageBreakBefore w:val="0"/>
        <w:widowControl w:val="0"/>
        <w:kinsoku/>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预算金额：</w:t>
      </w:r>
      <w:r>
        <w:rPr>
          <w:rFonts w:hint="eastAsia" w:ascii="宋体" w:hAnsi="宋体" w:eastAsia="宋体" w:cs="宋体"/>
          <w:color w:val="auto"/>
          <w:szCs w:val="21"/>
          <w:lang w:val="en-US" w:eastAsia="zh-CN"/>
        </w:rPr>
        <w:t>36万元/年，服务期1年</w:t>
      </w:r>
    </w:p>
    <w:p>
      <w:pPr>
        <w:pageBreakBefore w:val="0"/>
        <w:widowControl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rPr>
      </w:pPr>
      <w:r>
        <w:rPr>
          <w:rFonts w:hint="eastAsia" w:ascii="宋体" w:hAnsi="宋体" w:eastAsia="宋体" w:cs="宋体"/>
          <w:szCs w:val="21"/>
        </w:rPr>
        <w:t>采购需求：</w:t>
      </w:r>
    </w:p>
    <w:tbl>
      <w:tblPr>
        <w:tblStyle w:val="6"/>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728"/>
        <w:gridCol w:w="602"/>
        <w:gridCol w:w="540"/>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pPr>
              <w:pageBreakBefore w:val="0"/>
              <w:widowControl w:val="0"/>
              <w:kinsoku/>
              <w:overflowPunct/>
              <w:topLinePunct w:val="0"/>
              <w:autoSpaceDE/>
              <w:autoSpaceDN/>
              <w:bidi w:val="0"/>
              <w:adjustRightInd/>
              <w:snapToGrid/>
              <w:spacing w:line="440" w:lineRule="exact"/>
              <w:jc w:val="center"/>
              <w:textAlignment w:val="auto"/>
              <w:rPr>
                <w:rFonts w:ascii="宋体" w:hAnsi="宋体" w:eastAsia="宋体" w:cs="Times New Roman"/>
                <w:b/>
                <w:bCs/>
                <w:szCs w:val="21"/>
              </w:rPr>
            </w:pPr>
            <w:r>
              <w:rPr>
                <w:rFonts w:hint="eastAsia" w:ascii="宋体" w:hAnsi="宋体" w:eastAsia="宋体" w:cs="Times New Roman"/>
                <w:b/>
                <w:bCs/>
                <w:szCs w:val="21"/>
              </w:rPr>
              <w:t>序号</w:t>
            </w:r>
          </w:p>
        </w:tc>
        <w:tc>
          <w:tcPr>
            <w:tcW w:w="1728" w:type="dxa"/>
            <w:noWrap w:val="0"/>
            <w:vAlign w:val="center"/>
          </w:tcPr>
          <w:p>
            <w:pPr>
              <w:pageBreakBefore w:val="0"/>
              <w:widowControl w:val="0"/>
              <w:kinsoku/>
              <w:overflowPunct/>
              <w:topLinePunct w:val="0"/>
              <w:autoSpaceDE/>
              <w:autoSpaceDN/>
              <w:bidi w:val="0"/>
              <w:adjustRightInd/>
              <w:snapToGrid/>
              <w:spacing w:line="440" w:lineRule="exact"/>
              <w:jc w:val="center"/>
              <w:textAlignment w:val="auto"/>
              <w:rPr>
                <w:rFonts w:ascii="宋体" w:hAnsi="宋体" w:eastAsia="宋体" w:cs="Times New Roman"/>
                <w:b/>
                <w:bCs/>
                <w:szCs w:val="21"/>
              </w:rPr>
            </w:pPr>
            <w:r>
              <w:rPr>
                <w:rFonts w:hint="eastAsia" w:ascii="宋体" w:hAnsi="宋体" w:eastAsia="宋体" w:cs="宋体"/>
                <w:b/>
                <w:bCs/>
                <w:szCs w:val="21"/>
              </w:rPr>
              <w:t>标的的名称</w:t>
            </w:r>
          </w:p>
        </w:tc>
        <w:tc>
          <w:tcPr>
            <w:tcW w:w="602" w:type="dxa"/>
            <w:noWrap w:val="0"/>
            <w:vAlign w:val="center"/>
          </w:tcPr>
          <w:p>
            <w:pPr>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Times New Roman"/>
                <w:b/>
                <w:bCs/>
                <w:szCs w:val="21"/>
              </w:rPr>
            </w:pPr>
            <w:r>
              <w:rPr>
                <w:rFonts w:hint="eastAsia" w:ascii="宋体" w:hAnsi="宋体" w:eastAsia="宋体" w:cs="Times New Roman"/>
                <w:b/>
                <w:bCs/>
                <w:szCs w:val="21"/>
              </w:rPr>
              <w:t>数量</w:t>
            </w:r>
          </w:p>
        </w:tc>
        <w:tc>
          <w:tcPr>
            <w:tcW w:w="540" w:type="dxa"/>
            <w:noWrap w:val="0"/>
            <w:vAlign w:val="center"/>
          </w:tcPr>
          <w:p>
            <w:pPr>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Times New Roman"/>
                <w:b/>
                <w:bCs/>
                <w:szCs w:val="21"/>
              </w:rPr>
            </w:pPr>
            <w:r>
              <w:rPr>
                <w:rFonts w:hint="eastAsia" w:ascii="宋体" w:hAnsi="宋体" w:eastAsia="宋体" w:cs="Times New Roman"/>
                <w:b/>
                <w:bCs/>
                <w:szCs w:val="21"/>
              </w:rPr>
              <w:t>单位</w:t>
            </w:r>
          </w:p>
        </w:tc>
        <w:tc>
          <w:tcPr>
            <w:tcW w:w="6402" w:type="dxa"/>
            <w:noWrap w:val="0"/>
            <w:vAlign w:val="center"/>
          </w:tcPr>
          <w:p>
            <w:pPr>
              <w:pageBreakBefore w:val="0"/>
              <w:widowControl w:val="0"/>
              <w:kinsoku/>
              <w:overflowPunct/>
              <w:topLinePunct w:val="0"/>
              <w:autoSpaceDE/>
              <w:autoSpaceDN/>
              <w:bidi w:val="0"/>
              <w:adjustRightInd/>
              <w:snapToGrid/>
              <w:spacing w:line="440" w:lineRule="exact"/>
              <w:jc w:val="center"/>
              <w:textAlignment w:val="auto"/>
              <w:rPr>
                <w:rFonts w:ascii="宋体" w:hAnsi="宋体" w:eastAsia="宋体" w:cs="Times New Roman"/>
                <w:b/>
                <w:bCs/>
                <w:szCs w:val="21"/>
              </w:rPr>
            </w:pPr>
            <w:r>
              <w:rPr>
                <w:rFonts w:hint="eastAsia" w:ascii="宋体" w:hAnsi="宋体" w:eastAsia="宋体" w:cs="宋体"/>
                <w:b/>
                <w:bCs/>
                <w:szCs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pPr>
              <w:pageBreakBefore w:val="0"/>
              <w:widowControl w:val="0"/>
              <w:kinsoku/>
              <w:overflowPunct/>
              <w:topLinePunct w:val="0"/>
              <w:autoSpaceDE/>
              <w:autoSpaceDN/>
              <w:bidi w:val="0"/>
              <w:adjustRightInd/>
              <w:snapToGrid/>
              <w:spacing w:line="440" w:lineRule="exact"/>
              <w:jc w:val="center"/>
              <w:textAlignment w:val="auto"/>
              <w:rPr>
                <w:rFonts w:ascii="宋体" w:hAnsi="宋体" w:eastAsia="宋体" w:cs="Times New Roman"/>
                <w:szCs w:val="21"/>
              </w:rPr>
            </w:pPr>
            <w:r>
              <w:rPr>
                <w:rFonts w:hint="eastAsia" w:ascii="宋体" w:hAnsi="宋体" w:eastAsia="宋体" w:cs="Times New Roman"/>
                <w:szCs w:val="21"/>
              </w:rPr>
              <w:t>1</w:t>
            </w:r>
          </w:p>
        </w:tc>
        <w:tc>
          <w:tcPr>
            <w:tcW w:w="1728" w:type="dxa"/>
            <w:noWrap w:val="0"/>
            <w:vAlign w:val="center"/>
          </w:tcPr>
          <w:p>
            <w:pPr>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Times New Roman"/>
                <w:szCs w:val="21"/>
                <w:lang w:eastAsia="zh-CN"/>
              </w:rPr>
            </w:pPr>
            <w:r>
              <w:rPr>
                <w:rFonts w:hint="eastAsia" w:ascii="宋体" w:hAnsi="宋体" w:eastAsia="宋体" w:cs="Times New Roman"/>
                <w:szCs w:val="21"/>
                <w:lang w:eastAsia="zh-CN"/>
              </w:rPr>
              <w:t>国家税务总局南宁高新技术产业开发区税务局互联网光纤专线服务</w:t>
            </w:r>
          </w:p>
        </w:tc>
        <w:tc>
          <w:tcPr>
            <w:tcW w:w="602" w:type="dxa"/>
            <w:noWrap w:val="0"/>
            <w:vAlign w:val="center"/>
          </w:tcPr>
          <w:p>
            <w:pPr>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Times New Roman"/>
                <w:szCs w:val="21"/>
              </w:rPr>
            </w:pPr>
            <w:r>
              <w:rPr>
                <w:rFonts w:hint="eastAsia" w:ascii="宋体" w:hAnsi="宋体" w:eastAsia="宋体" w:cs="Times New Roman"/>
                <w:szCs w:val="21"/>
              </w:rPr>
              <w:t>1</w:t>
            </w:r>
          </w:p>
        </w:tc>
        <w:tc>
          <w:tcPr>
            <w:tcW w:w="540" w:type="dxa"/>
            <w:noWrap w:val="0"/>
            <w:vAlign w:val="center"/>
          </w:tcPr>
          <w:p>
            <w:pPr>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Times New Roman"/>
                <w:szCs w:val="21"/>
              </w:rPr>
            </w:pPr>
            <w:r>
              <w:rPr>
                <w:rFonts w:hint="eastAsia" w:ascii="宋体" w:hAnsi="宋体" w:eastAsia="宋体" w:cs="Times New Roman"/>
                <w:szCs w:val="21"/>
              </w:rPr>
              <w:t>项</w:t>
            </w:r>
          </w:p>
        </w:tc>
        <w:tc>
          <w:tcPr>
            <w:tcW w:w="6402" w:type="dxa"/>
            <w:noWrap w:val="0"/>
            <w:vAlign w:val="center"/>
          </w:tcPr>
          <w:p>
            <w:pPr>
              <w:pageBreakBefore w:val="0"/>
              <w:widowControl w:val="0"/>
              <w:kinsoku/>
              <w:overflowPunct/>
              <w:topLinePunct w:val="0"/>
              <w:autoSpaceDE/>
              <w:autoSpaceDN/>
              <w:bidi w:val="0"/>
              <w:adjustRightInd/>
              <w:snapToGrid/>
              <w:spacing w:line="440" w:lineRule="exact"/>
              <w:textAlignment w:val="auto"/>
              <w:rPr>
                <w:rFonts w:ascii="宋体" w:hAnsi="宋体" w:eastAsia="宋体" w:cs="Times New Roman"/>
                <w:szCs w:val="21"/>
              </w:rPr>
            </w:pPr>
            <w:r>
              <w:rPr>
                <w:rFonts w:hint="eastAsia" w:ascii="宋体" w:hAnsi="宋体" w:eastAsia="宋体" w:cs="Times New Roman"/>
                <w:szCs w:val="21"/>
                <w:lang w:eastAsia="zh-CN"/>
              </w:rPr>
              <w:t>▲</w:t>
            </w:r>
            <w:r>
              <w:rPr>
                <w:rFonts w:ascii="宋体" w:hAnsi="宋体" w:eastAsia="宋体" w:cs="Times New Roman"/>
                <w:szCs w:val="21"/>
              </w:rPr>
              <w:t>1.提供</w:t>
            </w:r>
            <w:r>
              <w:rPr>
                <w:rFonts w:hint="eastAsia" w:ascii="宋体" w:hAnsi="宋体" w:eastAsia="宋体" w:cs="Times New Roman"/>
                <w:szCs w:val="21"/>
              </w:rPr>
              <w:t>2</w:t>
            </w:r>
            <w:r>
              <w:rPr>
                <w:rFonts w:ascii="宋体" w:hAnsi="宋体" w:eastAsia="宋体" w:cs="Times New Roman"/>
                <w:szCs w:val="21"/>
              </w:rPr>
              <w:t>条互联网光纤专线，其中</w:t>
            </w:r>
            <w:r>
              <w:rPr>
                <w:rFonts w:hint="eastAsia" w:ascii="宋体" w:hAnsi="宋体" w:eastAsia="宋体" w:cs="Times New Roman"/>
                <w:szCs w:val="21"/>
              </w:rPr>
              <w:t>1</w:t>
            </w:r>
            <w:r>
              <w:rPr>
                <w:rFonts w:ascii="宋体" w:hAnsi="宋体" w:eastAsia="宋体" w:cs="Times New Roman"/>
                <w:szCs w:val="21"/>
              </w:rPr>
              <w:t>条</w:t>
            </w:r>
            <w:r>
              <w:rPr>
                <w:rFonts w:hint="eastAsia" w:ascii="宋体" w:hAnsi="宋体" w:eastAsia="宋体" w:cs="Times New Roman"/>
                <w:szCs w:val="21"/>
              </w:rPr>
              <w:t>5</w:t>
            </w:r>
            <w:r>
              <w:rPr>
                <w:rFonts w:ascii="宋体" w:hAnsi="宋体" w:eastAsia="宋体" w:cs="Times New Roman"/>
                <w:szCs w:val="21"/>
              </w:rPr>
              <w:t>00M，1条</w:t>
            </w:r>
            <w:r>
              <w:rPr>
                <w:rFonts w:hint="eastAsia" w:ascii="宋体" w:hAnsi="宋体" w:eastAsia="宋体" w:cs="Times New Roman"/>
                <w:szCs w:val="21"/>
              </w:rPr>
              <w:t>5</w:t>
            </w:r>
            <w:r>
              <w:rPr>
                <w:rFonts w:ascii="宋体" w:hAnsi="宋体" w:eastAsia="宋体" w:cs="Times New Roman"/>
                <w:szCs w:val="21"/>
              </w:rPr>
              <w:t>0M，要求免费提供接入设备，</w:t>
            </w:r>
            <w:r>
              <w:rPr>
                <w:rFonts w:hint="eastAsia" w:ascii="宋体" w:hAnsi="宋体" w:eastAsia="宋体" w:cs="Times New Roman"/>
                <w:szCs w:val="21"/>
              </w:rPr>
              <w:t>连接到中国公众宽带互联网</w:t>
            </w:r>
            <w:r>
              <w:rPr>
                <w:rFonts w:ascii="宋体" w:hAnsi="宋体" w:eastAsia="宋体" w:cs="Times New Roman"/>
                <w:szCs w:val="21"/>
              </w:rPr>
              <w:t>。</w:t>
            </w:r>
          </w:p>
          <w:p>
            <w:pPr>
              <w:pageBreakBefore w:val="0"/>
              <w:widowControl w:val="0"/>
              <w:kinsoku/>
              <w:overflowPunct/>
              <w:topLinePunct w:val="0"/>
              <w:autoSpaceDE/>
              <w:autoSpaceDN/>
              <w:bidi w:val="0"/>
              <w:adjustRightInd/>
              <w:snapToGrid/>
              <w:spacing w:line="440" w:lineRule="exact"/>
              <w:textAlignment w:val="auto"/>
              <w:rPr>
                <w:rFonts w:ascii="宋体" w:hAnsi="宋体" w:eastAsia="宋体" w:cs="Times New Roman"/>
                <w:szCs w:val="21"/>
              </w:rPr>
            </w:pPr>
            <w:r>
              <w:rPr>
                <w:rFonts w:hint="eastAsia" w:ascii="宋体" w:hAnsi="宋体" w:eastAsia="宋体" w:cs="Times New Roman"/>
                <w:szCs w:val="21"/>
                <w:lang w:eastAsia="zh-CN"/>
              </w:rPr>
              <w:t>▲</w:t>
            </w:r>
            <w:r>
              <w:rPr>
                <w:rFonts w:ascii="宋体" w:hAnsi="宋体" w:eastAsia="宋体" w:cs="Times New Roman"/>
                <w:szCs w:val="21"/>
              </w:rPr>
              <w:t>2.免费提供</w:t>
            </w:r>
            <w:r>
              <w:rPr>
                <w:rFonts w:hint="eastAsia" w:ascii="宋体" w:hAnsi="宋体" w:eastAsia="宋体" w:cs="Times New Roman"/>
                <w:szCs w:val="21"/>
              </w:rPr>
              <w:t>2</w:t>
            </w:r>
            <w:r>
              <w:rPr>
                <w:rFonts w:ascii="宋体" w:hAnsi="宋体" w:eastAsia="宋体" w:cs="Times New Roman"/>
                <w:szCs w:val="21"/>
              </w:rPr>
              <w:t>个可正常使用的公网静态IP地址。</w:t>
            </w:r>
          </w:p>
          <w:p>
            <w:pPr>
              <w:pageBreakBefore w:val="0"/>
              <w:widowControl w:val="0"/>
              <w:kinsoku/>
              <w:overflowPunct/>
              <w:topLinePunct w:val="0"/>
              <w:autoSpaceDE/>
              <w:autoSpaceDN/>
              <w:bidi w:val="0"/>
              <w:adjustRightInd/>
              <w:snapToGrid/>
              <w:spacing w:line="440" w:lineRule="exact"/>
              <w:textAlignment w:val="auto"/>
              <w:rPr>
                <w:rFonts w:ascii="宋体" w:hAnsi="宋体" w:eastAsia="宋体" w:cs="Times New Roman"/>
                <w:szCs w:val="21"/>
              </w:rPr>
            </w:pPr>
            <w:r>
              <w:rPr>
                <w:rFonts w:hint="eastAsia" w:ascii="宋体" w:hAnsi="宋体" w:eastAsia="宋体" w:cs="Times New Roman"/>
                <w:szCs w:val="21"/>
                <w:lang w:eastAsia="zh-CN"/>
              </w:rPr>
              <w:t>▲</w:t>
            </w:r>
            <w:r>
              <w:rPr>
                <w:rFonts w:ascii="宋体" w:hAnsi="宋体" w:eastAsia="宋体" w:cs="Times New Roman"/>
                <w:szCs w:val="21"/>
              </w:rPr>
              <w:t>3.互联网光纤专线裸机测试，上下行速率一致。</w:t>
            </w:r>
          </w:p>
          <w:p>
            <w:pPr>
              <w:pageBreakBefore w:val="0"/>
              <w:widowControl w:val="0"/>
              <w:numPr>
                <w:ilvl w:val="0"/>
                <w:numId w:val="1"/>
              </w:numPr>
              <w:kinsoku/>
              <w:overflowPunct/>
              <w:topLinePunct w:val="0"/>
              <w:autoSpaceDE/>
              <w:autoSpaceDN/>
              <w:bidi w:val="0"/>
              <w:adjustRightInd/>
              <w:snapToGrid/>
              <w:spacing w:line="440" w:lineRule="exact"/>
              <w:textAlignment w:val="auto"/>
              <w:rPr>
                <w:rFonts w:ascii="宋体" w:hAnsi="宋体" w:eastAsia="宋体" w:cs="Times New Roman"/>
                <w:szCs w:val="21"/>
              </w:rPr>
            </w:pPr>
            <w:r>
              <w:rPr>
                <w:rFonts w:ascii="宋体" w:hAnsi="宋体" w:eastAsia="宋体" w:cs="Times New Roman"/>
                <w:szCs w:val="21"/>
              </w:rPr>
              <w:t>汇聚层、核心层全网采用双路由的备份保护，保证整个城域网的安全、可靠、快速。</w:t>
            </w:r>
          </w:p>
          <w:p>
            <w:pPr>
              <w:pageBreakBefore w:val="0"/>
              <w:widowControl w:val="0"/>
              <w:kinsoku/>
              <w:overflowPunct/>
              <w:topLinePunct w:val="0"/>
              <w:autoSpaceDE/>
              <w:autoSpaceDN/>
              <w:bidi w:val="0"/>
              <w:adjustRightInd/>
              <w:snapToGrid/>
              <w:spacing w:line="440" w:lineRule="exact"/>
              <w:textAlignment w:val="auto"/>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（如需进一步了解详细内容，详见竞争性磋商文件。）</w:t>
            </w:r>
          </w:p>
        </w:tc>
      </w:tr>
    </w:tbl>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rPr>
        <w:t>合同履行期限：</w:t>
      </w:r>
      <w:r>
        <w:rPr>
          <w:rFonts w:hint="eastAsia" w:ascii="宋体" w:hAnsi="宋体" w:eastAsia="宋体" w:cs="宋体"/>
          <w:color w:val="auto"/>
          <w:szCs w:val="21"/>
          <w:lang w:eastAsia="zh-CN"/>
        </w:rPr>
        <w:t>1年（自线路验收合格并交付之日起计）</w:t>
      </w:r>
      <w:r>
        <w:rPr>
          <w:rFonts w:hint="eastAsia" w:ascii="宋体" w:hAnsi="宋体" w:eastAsia="宋体" w:cs="宋体"/>
          <w:szCs w:val="21"/>
        </w:rPr>
        <w:t>。</w:t>
      </w:r>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本项目不接受联合体。</w:t>
      </w:r>
    </w:p>
    <w:p>
      <w:pPr>
        <w:pStyle w:val="4"/>
        <w:pageBreakBefore w:val="0"/>
        <w:widowControl w:val="0"/>
        <w:kinsoku/>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bCs w:val="0"/>
          <w:sz w:val="24"/>
          <w:szCs w:val="24"/>
        </w:rPr>
      </w:pPr>
      <w:bookmarkStart w:id="8" w:name="_Toc28359013"/>
      <w:bookmarkStart w:id="9" w:name="_Toc28359090"/>
      <w:bookmarkStart w:id="10" w:name="_Toc44229879"/>
      <w:bookmarkStart w:id="11" w:name="_Toc22110"/>
      <w:bookmarkStart w:id="12" w:name="_Toc35393630"/>
      <w:bookmarkStart w:id="13" w:name="_Toc31395"/>
      <w:bookmarkStart w:id="14" w:name="_Toc35393799"/>
      <w:r>
        <w:rPr>
          <w:rFonts w:hint="eastAsia" w:ascii="宋体" w:hAnsi="宋体" w:eastAsia="宋体" w:cs="宋体"/>
          <w:bCs w:val="0"/>
          <w:sz w:val="24"/>
          <w:szCs w:val="24"/>
        </w:rPr>
        <w:t>二、供应商的资格条件：</w:t>
      </w:r>
      <w:bookmarkEnd w:id="8"/>
      <w:bookmarkEnd w:id="9"/>
      <w:bookmarkEnd w:id="10"/>
      <w:bookmarkEnd w:id="11"/>
      <w:bookmarkEnd w:id="12"/>
      <w:bookmarkEnd w:id="13"/>
      <w:bookmarkEnd w:id="14"/>
    </w:p>
    <w:p>
      <w:pPr>
        <w:pageBreakBefore w:val="0"/>
        <w:widowControl w:val="0"/>
        <w:kinsoku/>
        <w:overflowPunct/>
        <w:topLinePunct w:val="0"/>
        <w:autoSpaceDE/>
        <w:autoSpaceDN/>
        <w:bidi w:val="0"/>
        <w:adjustRightInd/>
        <w:snapToGrid/>
        <w:spacing w:line="420" w:lineRule="exact"/>
        <w:ind w:firstLine="420"/>
        <w:textAlignment w:val="auto"/>
        <w:rPr>
          <w:rFonts w:hint="eastAsia" w:ascii="宋体" w:hAnsi="宋体" w:eastAsia="宋体" w:cs="宋体"/>
          <w:szCs w:val="21"/>
        </w:rPr>
      </w:pPr>
      <w:bookmarkStart w:id="15" w:name="_Toc28359091"/>
      <w:bookmarkStart w:id="16" w:name="_Toc35393631"/>
      <w:bookmarkStart w:id="17" w:name="_Toc35393800"/>
      <w:bookmarkStart w:id="18" w:name="_Toc28359014"/>
      <w:bookmarkStart w:id="19" w:name="_Toc44229880"/>
      <w:r>
        <w:rPr>
          <w:rFonts w:hint="eastAsia" w:ascii="宋体" w:hAnsi="宋体" w:eastAsia="宋体" w:cs="宋体"/>
          <w:szCs w:val="21"/>
        </w:rPr>
        <w:t>1.供应商参加本采购活动应当具备下列条件：</w:t>
      </w:r>
    </w:p>
    <w:p>
      <w:pPr>
        <w:pageBreakBefore w:val="0"/>
        <w:widowControl w:val="0"/>
        <w:kinsoku/>
        <w:overflowPunct/>
        <w:topLinePunct w:val="0"/>
        <w:autoSpaceDE/>
        <w:autoSpaceDN/>
        <w:bidi w:val="0"/>
        <w:adjustRightInd/>
        <w:snapToGrid/>
        <w:spacing w:line="420" w:lineRule="exact"/>
        <w:ind w:firstLine="420"/>
        <w:textAlignment w:val="auto"/>
        <w:rPr>
          <w:rFonts w:hint="eastAsia" w:ascii="宋体" w:hAnsi="宋体" w:eastAsia="宋体" w:cs="宋体"/>
          <w:szCs w:val="21"/>
        </w:rPr>
      </w:pPr>
      <w:r>
        <w:rPr>
          <w:rFonts w:hint="eastAsia" w:ascii="宋体" w:hAnsi="宋体" w:eastAsia="宋体" w:cs="宋体"/>
          <w:szCs w:val="21"/>
        </w:rPr>
        <w:t>（1）具有独立承担民事责任的能力；</w:t>
      </w:r>
      <w:bookmarkStart w:id="59" w:name="_GoBack"/>
      <w:bookmarkEnd w:id="59"/>
    </w:p>
    <w:p>
      <w:pPr>
        <w:pageBreakBefore w:val="0"/>
        <w:widowControl w:val="0"/>
        <w:kinsoku/>
        <w:overflowPunct/>
        <w:topLinePunct w:val="0"/>
        <w:autoSpaceDE/>
        <w:autoSpaceDN/>
        <w:bidi w:val="0"/>
        <w:adjustRightInd/>
        <w:snapToGrid/>
        <w:spacing w:line="420" w:lineRule="exact"/>
        <w:ind w:firstLine="420"/>
        <w:textAlignment w:val="auto"/>
        <w:rPr>
          <w:rFonts w:hint="eastAsia" w:ascii="宋体" w:hAnsi="宋体" w:eastAsia="宋体" w:cs="宋体"/>
          <w:szCs w:val="21"/>
        </w:rPr>
      </w:pPr>
      <w:r>
        <w:rPr>
          <w:rFonts w:hint="eastAsia" w:ascii="宋体" w:hAnsi="宋体" w:eastAsia="宋体" w:cs="宋体"/>
          <w:szCs w:val="21"/>
        </w:rPr>
        <w:t>（2）具有良好的商业信誉和健全的财务会计制度；</w:t>
      </w:r>
    </w:p>
    <w:p>
      <w:pPr>
        <w:pageBreakBefore w:val="0"/>
        <w:widowControl w:val="0"/>
        <w:kinsoku/>
        <w:overflowPunct/>
        <w:topLinePunct w:val="0"/>
        <w:autoSpaceDE/>
        <w:autoSpaceDN/>
        <w:bidi w:val="0"/>
        <w:adjustRightInd/>
        <w:snapToGrid/>
        <w:spacing w:line="420" w:lineRule="exact"/>
        <w:ind w:firstLine="420"/>
        <w:textAlignment w:val="auto"/>
        <w:rPr>
          <w:rFonts w:hint="eastAsia" w:ascii="宋体" w:hAnsi="宋体" w:eastAsia="宋体" w:cs="宋体"/>
          <w:szCs w:val="21"/>
        </w:rPr>
      </w:pPr>
      <w:r>
        <w:rPr>
          <w:rFonts w:hint="eastAsia" w:ascii="宋体" w:hAnsi="宋体" w:eastAsia="宋体" w:cs="宋体"/>
          <w:szCs w:val="21"/>
        </w:rPr>
        <w:t>（3）具有履行合同所必需的设备和专业技术能力；</w:t>
      </w:r>
    </w:p>
    <w:p>
      <w:pPr>
        <w:pageBreakBefore w:val="0"/>
        <w:widowControl w:val="0"/>
        <w:kinsoku/>
        <w:overflowPunct/>
        <w:topLinePunct w:val="0"/>
        <w:autoSpaceDE/>
        <w:autoSpaceDN/>
        <w:bidi w:val="0"/>
        <w:adjustRightInd/>
        <w:snapToGrid/>
        <w:spacing w:line="420" w:lineRule="exact"/>
        <w:ind w:firstLine="420"/>
        <w:textAlignment w:val="auto"/>
        <w:rPr>
          <w:rFonts w:hint="eastAsia" w:ascii="宋体" w:hAnsi="宋体" w:eastAsia="宋体" w:cs="宋体"/>
          <w:szCs w:val="21"/>
        </w:rPr>
      </w:pPr>
      <w:r>
        <w:rPr>
          <w:rFonts w:hint="eastAsia" w:ascii="宋体" w:hAnsi="宋体" w:eastAsia="宋体" w:cs="宋体"/>
          <w:szCs w:val="21"/>
        </w:rPr>
        <w:t>（4）有依法缴纳税收和社会保障资金的良好记录；</w:t>
      </w:r>
    </w:p>
    <w:p>
      <w:pPr>
        <w:pageBreakBefore w:val="0"/>
        <w:widowControl w:val="0"/>
        <w:kinsoku/>
        <w:overflowPunct/>
        <w:topLinePunct w:val="0"/>
        <w:autoSpaceDE/>
        <w:autoSpaceDN/>
        <w:bidi w:val="0"/>
        <w:adjustRightInd/>
        <w:snapToGrid/>
        <w:spacing w:line="420" w:lineRule="exact"/>
        <w:ind w:firstLine="420"/>
        <w:textAlignment w:val="auto"/>
        <w:rPr>
          <w:rFonts w:hint="eastAsia" w:ascii="宋体" w:hAnsi="宋体" w:eastAsia="宋体" w:cs="宋体"/>
          <w:szCs w:val="21"/>
        </w:rPr>
      </w:pPr>
      <w:r>
        <w:rPr>
          <w:rFonts w:hint="eastAsia" w:ascii="宋体" w:hAnsi="宋体" w:eastAsia="宋体" w:cs="宋体"/>
          <w:szCs w:val="21"/>
        </w:rPr>
        <w:t>（5）参加采购活动前三年内，在经营活动中没有重大违法记录。</w:t>
      </w:r>
    </w:p>
    <w:p>
      <w:pPr>
        <w:pageBreakBefore w:val="0"/>
        <w:widowControl w:val="0"/>
        <w:kinsoku/>
        <w:overflowPunct/>
        <w:topLinePunct w:val="0"/>
        <w:autoSpaceDE/>
        <w:autoSpaceDN/>
        <w:bidi w:val="0"/>
        <w:adjustRightInd/>
        <w:snapToGrid/>
        <w:spacing w:line="420" w:lineRule="exact"/>
        <w:ind w:firstLine="420"/>
        <w:textAlignment w:val="auto"/>
        <w:rPr>
          <w:rFonts w:hint="eastAsia" w:ascii="宋体" w:hAnsi="宋体" w:eastAsia="宋体" w:cs="宋体"/>
          <w:color w:val="auto"/>
          <w:szCs w:val="21"/>
          <w:lang w:eastAsia="zh-CN"/>
        </w:rPr>
      </w:pPr>
      <w:r>
        <w:rPr>
          <w:rFonts w:hint="eastAsia" w:ascii="宋体" w:hAnsi="宋体" w:eastAsia="宋体" w:cs="宋体"/>
          <w:szCs w:val="21"/>
        </w:rPr>
        <w:t>2.</w:t>
      </w:r>
      <w:r>
        <w:rPr>
          <w:rFonts w:hint="eastAsia" w:ascii="Times New Roman" w:hAnsi="宋体" w:eastAsia="宋体" w:cs="宋体"/>
          <w:color w:val="auto"/>
          <w:sz w:val="21"/>
          <w:lang w:val="en-US" w:eastAsia="zh-CN"/>
        </w:rPr>
        <w:t>根据《中华人民共和国政府采购法实施条例》释义，银行、保险、石油石化、电力、电信等有行业特殊情况的，允许法人的分支机构参加竞标</w:t>
      </w:r>
      <w:r>
        <w:rPr>
          <w:rFonts w:hint="eastAsia" w:ascii="宋体" w:hAnsi="宋体" w:eastAsia="宋体" w:cs="宋体"/>
          <w:color w:val="auto"/>
          <w:szCs w:val="21"/>
          <w:lang w:eastAsia="zh-CN"/>
        </w:rPr>
        <w:t>。</w:t>
      </w:r>
    </w:p>
    <w:p>
      <w:pPr>
        <w:pageBreakBefore w:val="0"/>
        <w:widowControl w:val="0"/>
        <w:kinsoku/>
        <w:overflowPunct/>
        <w:topLinePunct w:val="0"/>
        <w:autoSpaceDE/>
        <w:autoSpaceDN/>
        <w:bidi w:val="0"/>
        <w:adjustRightInd/>
        <w:snapToGrid/>
        <w:spacing w:line="420" w:lineRule="exact"/>
        <w:ind w:firstLine="42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.本项目的特定资格要求：无</w:t>
      </w:r>
      <w:r>
        <w:rPr>
          <w:rFonts w:hint="eastAsia" w:ascii="宋体" w:hAnsi="宋体" w:eastAsia="宋体" w:cs="宋体"/>
          <w:color w:val="auto"/>
        </w:rPr>
        <w:t>。</w:t>
      </w:r>
    </w:p>
    <w:p>
      <w:pPr>
        <w:pageBreakBefore w:val="0"/>
        <w:widowControl w:val="0"/>
        <w:kinsoku/>
        <w:overflowPunct/>
        <w:topLinePunct w:val="0"/>
        <w:autoSpaceDE/>
        <w:autoSpaceDN/>
        <w:bidi w:val="0"/>
        <w:adjustRightInd/>
        <w:snapToGrid/>
        <w:spacing w:line="420" w:lineRule="exact"/>
        <w:ind w:firstLine="420"/>
        <w:textAlignment w:val="auto"/>
        <w:rPr>
          <w:rFonts w:hint="eastAsia" w:ascii="宋体" w:hAnsi="宋体" w:eastAsia="宋体" w:cs="宋体"/>
          <w:szCs w:val="21"/>
        </w:rPr>
      </w:pPr>
      <w:bookmarkStart w:id="20" w:name="_Toc4756"/>
      <w:bookmarkStart w:id="21" w:name="_Toc13895"/>
      <w:r>
        <w:rPr>
          <w:rFonts w:hint="eastAsia" w:ascii="宋体" w:hAnsi="宋体" w:eastAsia="宋体" w:cs="宋体"/>
          <w:szCs w:val="21"/>
          <w:lang w:val="en-US" w:eastAsia="zh-CN"/>
        </w:rPr>
        <w:t>4</w:t>
      </w:r>
      <w:r>
        <w:rPr>
          <w:rFonts w:hint="eastAsia" w:ascii="宋体" w:hAnsi="宋体" w:eastAsia="宋体" w:cs="宋体"/>
          <w:szCs w:val="21"/>
        </w:rPr>
        <w:t>.不存在不良信用记录[在“信用中国”网站（www.creditchina.gov.cn）等渠道被列入失信被执行人、重大税收违法失信主体、严重违法失信行为记录名单的供应商将被拒绝其参与本次采购活动]。</w:t>
      </w:r>
    </w:p>
    <w:p>
      <w:pPr>
        <w:pageBreakBefore w:val="0"/>
        <w:widowControl w:val="0"/>
        <w:kinsoku/>
        <w:overflowPunct/>
        <w:topLinePunct w:val="0"/>
        <w:autoSpaceDE/>
        <w:autoSpaceDN/>
        <w:bidi w:val="0"/>
        <w:adjustRightInd/>
        <w:snapToGrid/>
        <w:spacing w:line="42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.单位负责人为同一人或者存在直接控股、管理关系的不同供应商，不得参加同一合同项下的采购活动。为本项目提供整体设计、规范编制或者项目管理、监理、检测等服务的供应商，不得再参加本次采购活动。</w:t>
      </w:r>
    </w:p>
    <w:p>
      <w:pPr>
        <w:pStyle w:val="4"/>
        <w:pageBreakBefore w:val="0"/>
        <w:widowControl w:val="0"/>
        <w:kinsoku/>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三、获取</w:t>
      </w:r>
      <w:r>
        <w:rPr>
          <w:rFonts w:hint="eastAsia" w:ascii="宋体" w:hAnsi="宋体" w:eastAsia="宋体" w:cs="宋体"/>
          <w:bCs w:val="0"/>
          <w:sz w:val="24"/>
          <w:szCs w:val="24"/>
          <w:lang w:eastAsia="zh-CN"/>
        </w:rPr>
        <w:t>磋商</w:t>
      </w:r>
      <w:r>
        <w:rPr>
          <w:rFonts w:hint="eastAsia" w:ascii="宋体" w:hAnsi="宋体" w:eastAsia="宋体" w:cs="宋体"/>
          <w:bCs w:val="0"/>
          <w:sz w:val="24"/>
          <w:szCs w:val="24"/>
        </w:rPr>
        <w:t>文件</w:t>
      </w:r>
      <w:bookmarkEnd w:id="15"/>
      <w:bookmarkEnd w:id="16"/>
      <w:bookmarkEnd w:id="17"/>
      <w:bookmarkEnd w:id="18"/>
      <w:bookmarkEnd w:id="19"/>
      <w:bookmarkEnd w:id="20"/>
      <w:bookmarkEnd w:id="21"/>
    </w:p>
    <w:p>
      <w:pPr>
        <w:pageBreakBefore w:val="0"/>
        <w:widowControl w:val="0"/>
        <w:kinsoku/>
        <w:wordWrap w:val="0"/>
        <w:overflowPunct/>
        <w:topLinePunct w:val="0"/>
        <w:autoSpaceDE/>
        <w:autoSpaceDN/>
        <w:bidi w:val="0"/>
        <w:adjustRightInd/>
        <w:snapToGrid/>
        <w:spacing w:line="420" w:lineRule="exact"/>
        <w:ind w:firstLine="420" w:firstLineChars="200"/>
        <w:textAlignment w:val="auto"/>
        <w:rPr>
          <w:rFonts w:ascii="宋体" w:hAnsi="宋体" w:eastAsia="宋体" w:cs="Times New Roman"/>
          <w:szCs w:val="21"/>
        </w:rPr>
      </w:pPr>
      <w:bookmarkStart w:id="22" w:name="_Toc28359092"/>
      <w:bookmarkStart w:id="23" w:name="_Toc35393632"/>
      <w:bookmarkStart w:id="24" w:name="_Toc28359015"/>
      <w:bookmarkStart w:id="25" w:name="_Toc35393801"/>
      <w:bookmarkStart w:id="26" w:name="_Toc44229881"/>
      <w:r>
        <w:rPr>
          <w:rFonts w:hint="eastAsia" w:ascii="宋体" w:hAnsi="宋体" w:eastAsia="宋体" w:cs="Times New Roman"/>
          <w:szCs w:val="21"/>
        </w:rPr>
        <w:t>时间：</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2022</w:t>
      </w:r>
      <w:r>
        <w:rPr>
          <w:rFonts w:hint="eastAsia" w:ascii="宋体" w:hAnsi="宋体" w:eastAsia="宋体" w:cs="Times New Roman"/>
          <w:szCs w:val="21"/>
          <w:u w:val="single"/>
        </w:rPr>
        <w:t>年</w:t>
      </w:r>
      <w:r>
        <w:rPr>
          <w:rFonts w:hint="eastAsia" w:ascii="宋体" w:hAnsi="宋体" w:eastAsia="宋体" w:cs="Times New Roman"/>
          <w:szCs w:val="21"/>
          <w:u w:val="single"/>
          <w:lang w:val="en-US" w:eastAsia="zh-CN"/>
        </w:rPr>
        <w:t>12</w:t>
      </w:r>
      <w:r>
        <w:rPr>
          <w:rFonts w:hint="eastAsia" w:ascii="宋体" w:hAnsi="宋体" w:eastAsia="宋体" w:cs="Times New Roman"/>
          <w:szCs w:val="21"/>
          <w:u w:val="single"/>
        </w:rPr>
        <w:t>月</w:t>
      </w:r>
      <w:r>
        <w:rPr>
          <w:rFonts w:hint="eastAsia" w:ascii="宋体" w:hAnsi="宋体" w:eastAsia="宋体" w:cs="Times New Roman"/>
          <w:szCs w:val="21"/>
          <w:u w:val="single"/>
          <w:lang w:val="en-US" w:eastAsia="zh-CN"/>
        </w:rPr>
        <w:t>30</w:t>
      </w:r>
      <w:r>
        <w:rPr>
          <w:rFonts w:hint="eastAsia" w:ascii="宋体" w:hAnsi="宋体" w:eastAsia="宋体" w:cs="Times New Roman"/>
          <w:szCs w:val="21"/>
          <w:u w:val="single"/>
        </w:rPr>
        <w:t>日</w:t>
      </w:r>
      <w:r>
        <w:rPr>
          <w:rFonts w:hint="eastAsia" w:ascii="宋体" w:hAnsi="宋体" w:eastAsia="宋体" w:cs="Times New Roman"/>
          <w:szCs w:val="21"/>
        </w:rPr>
        <w:t>至</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2023</w:t>
      </w:r>
      <w:r>
        <w:rPr>
          <w:rFonts w:hint="eastAsia" w:ascii="宋体" w:hAnsi="宋体" w:eastAsia="宋体" w:cs="Times New Roman"/>
          <w:szCs w:val="21"/>
          <w:u w:val="single"/>
        </w:rPr>
        <w:t>年</w:t>
      </w:r>
      <w:r>
        <w:rPr>
          <w:rFonts w:hint="eastAsia" w:ascii="宋体" w:hAnsi="宋体" w:eastAsia="宋体" w:cs="Times New Roman"/>
          <w:szCs w:val="21"/>
          <w:u w:val="single"/>
          <w:lang w:val="en-US" w:eastAsia="zh-CN"/>
        </w:rPr>
        <w:t>1</w:t>
      </w:r>
      <w:r>
        <w:rPr>
          <w:rFonts w:hint="eastAsia" w:ascii="宋体" w:hAnsi="宋体" w:eastAsia="宋体" w:cs="Times New Roman"/>
          <w:szCs w:val="21"/>
          <w:u w:val="single"/>
        </w:rPr>
        <w:t>月</w:t>
      </w:r>
      <w:r>
        <w:rPr>
          <w:rFonts w:hint="eastAsia" w:ascii="宋体" w:hAnsi="宋体" w:eastAsia="宋体" w:cs="Times New Roman"/>
          <w:szCs w:val="21"/>
          <w:u w:val="single"/>
          <w:lang w:val="en-US" w:eastAsia="zh-CN"/>
        </w:rPr>
        <w:t>5</w:t>
      </w:r>
      <w:r>
        <w:rPr>
          <w:rFonts w:hint="eastAsia" w:ascii="宋体" w:hAnsi="宋体" w:eastAsia="宋体" w:cs="Times New Roman"/>
          <w:szCs w:val="21"/>
          <w:u w:val="single"/>
        </w:rPr>
        <w:t>日</w:t>
      </w:r>
      <w:r>
        <w:rPr>
          <w:rFonts w:hint="eastAsia" w:ascii="宋体" w:hAnsi="宋体" w:eastAsia="宋体" w:cs="Times New Roman"/>
          <w:szCs w:val="21"/>
        </w:rPr>
        <w:t>，每天</w:t>
      </w:r>
      <w:r>
        <w:rPr>
          <w:rFonts w:ascii="宋体" w:hAnsi="宋体" w:eastAsia="宋体" w:cs="Times New Roman"/>
          <w:szCs w:val="21"/>
          <w:u w:val="single"/>
        </w:rPr>
        <w:t>9：00</w:t>
      </w:r>
      <w:r>
        <w:rPr>
          <w:rFonts w:hint="eastAsia" w:ascii="宋体" w:hAnsi="宋体" w:eastAsia="宋体" w:cs="Times New Roman"/>
          <w:szCs w:val="21"/>
        </w:rPr>
        <w:t>至</w:t>
      </w:r>
      <w:r>
        <w:rPr>
          <w:rFonts w:ascii="宋体" w:hAnsi="宋体" w:eastAsia="宋体" w:cs="Times New Roman"/>
          <w:szCs w:val="21"/>
          <w:u w:val="single"/>
        </w:rPr>
        <w:t>12：00</w:t>
      </w:r>
      <w:r>
        <w:rPr>
          <w:rFonts w:hint="eastAsia" w:ascii="宋体" w:hAnsi="宋体" w:eastAsia="宋体" w:cs="Times New Roman"/>
          <w:szCs w:val="21"/>
        </w:rPr>
        <w:t>，</w:t>
      </w:r>
      <w:r>
        <w:rPr>
          <w:rFonts w:hint="eastAsia" w:ascii="宋体" w:hAnsi="宋体" w:eastAsia="宋体" w:cs="Times New Roman"/>
          <w:szCs w:val="21"/>
          <w:u w:val="single"/>
        </w:rPr>
        <w:t>15</w:t>
      </w:r>
      <w:r>
        <w:rPr>
          <w:rFonts w:ascii="宋体" w:hAnsi="宋体" w:eastAsia="宋体" w:cs="Times New Roman"/>
          <w:szCs w:val="21"/>
          <w:u w:val="single"/>
        </w:rPr>
        <w:t>:</w:t>
      </w:r>
      <w:r>
        <w:rPr>
          <w:rFonts w:hint="eastAsia" w:ascii="宋体" w:hAnsi="宋体" w:eastAsia="宋体" w:cs="Times New Roman"/>
          <w:szCs w:val="21"/>
          <w:u w:val="single"/>
        </w:rPr>
        <w:t>0</w:t>
      </w:r>
      <w:r>
        <w:rPr>
          <w:rFonts w:ascii="宋体" w:hAnsi="宋体" w:eastAsia="宋体" w:cs="Times New Roman"/>
          <w:szCs w:val="21"/>
          <w:u w:val="single"/>
        </w:rPr>
        <w:t>0</w:t>
      </w:r>
      <w:r>
        <w:rPr>
          <w:rFonts w:hint="eastAsia" w:ascii="宋体" w:hAnsi="宋体" w:eastAsia="宋体" w:cs="Times New Roman"/>
          <w:szCs w:val="21"/>
        </w:rPr>
        <w:t>至</w:t>
      </w:r>
      <w:r>
        <w:rPr>
          <w:rFonts w:ascii="宋体" w:hAnsi="宋体" w:eastAsia="宋体" w:cs="Times New Roman"/>
          <w:szCs w:val="21"/>
          <w:u w:val="single"/>
        </w:rPr>
        <w:t>17：30</w:t>
      </w:r>
      <w:r>
        <w:rPr>
          <w:rFonts w:hint="eastAsia" w:ascii="宋体" w:hAnsi="宋体" w:eastAsia="宋体" w:cs="Times New Roman"/>
          <w:szCs w:val="21"/>
        </w:rPr>
        <w:t>（北京时间，</w:t>
      </w:r>
      <w:r>
        <w:rPr>
          <w:rFonts w:ascii="宋体" w:hAnsi="宋体" w:eastAsia="宋体" w:cs="Times New Roman"/>
          <w:szCs w:val="21"/>
        </w:rPr>
        <w:t>法定节假日</w:t>
      </w:r>
      <w:r>
        <w:rPr>
          <w:rFonts w:hint="eastAsia" w:ascii="宋体" w:hAnsi="宋体" w:eastAsia="宋体" w:cs="Times New Roman"/>
          <w:szCs w:val="21"/>
        </w:rPr>
        <w:t>除外）</w:t>
      </w:r>
    </w:p>
    <w:p>
      <w:pPr>
        <w:pageBreakBefore w:val="0"/>
        <w:widowControl w:val="0"/>
        <w:kinsoku/>
        <w:wordWrap w:val="0"/>
        <w:overflowPunct/>
        <w:topLinePunct w:val="0"/>
        <w:autoSpaceDE/>
        <w:autoSpaceDN/>
        <w:bidi w:val="0"/>
        <w:adjustRightInd/>
        <w:snapToGrid/>
        <w:spacing w:line="4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地点：</w:t>
      </w:r>
      <w:r>
        <w:rPr>
          <w:rFonts w:ascii="宋体" w:hAnsi="宋体" w:eastAsia="宋体" w:cs="Times New Roman"/>
          <w:szCs w:val="21"/>
        </w:rPr>
        <w:t>广西信永工程咨询有限责任公司财务部（南宁市青秀区中柬路9号利海•亚洲国际4号楼领峰A座610室）</w:t>
      </w:r>
    </w:p>
    <w:p>
      <w:pPr>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方式</w:t>
      </w:r>
      <w:r>
        <w:rPr>
          <w:rFonts w:hint="eastAsia" w:ascii="宋体" w:hAnsi="宋体" w:eastAsia="宋体" w:cs="Times New Roman"/>
        </w:rPr>
        <w:t>（可以采用以下方式之一获取采购文件）</w:t>
      </w:r>
      <w:r>
        <w:rPr>
          <w:rFonts w:hint="eastAsia" w:ascii="宋体" w:hAnsi="宋体" w:eastAsia="宋体" w:cs="Times New Roman"/>
          <w:szCs w:val="21"/>
        </w:rPr>
        <w:t>：</w:t>
      </w:r>
    </w:p>
    <w:p>
      <w:pPr>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32"/>
        </w:rPr>
      </w:pPr>
      <w:r>
        <w:rPr>
          <w:rFonts w:hint="eastAsia" w:ascii="宋体" w:hAnsi="宋体" w:eastAsia="宋体" w:cs="Times New Roman"/>
          <w:szCs w:val="21"/>
        </w:rPr>
        <w:t>①现场获取：</w:t>
      </w:r>
      <w:r>
        <w:rPr>
          <w:rFonts w:hint="eastAsia" w:ascii="宋体" w:hAnsi="宋体" w:eastAsia="宋体" w:cs="宋体"/>
          <w:szCs w:val="32"/>
        </w:rPr>
        <w:t>无需报名材料，请到广西信永工程咨询有限责任公司财务部（南宁市青秀区中柬路9号利海•亚洲国际4号楼领峰A座610室）现场直接购买；</w:t>
      </w:r>
    </w:p>
    <w:p>
      <w:pPr>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szCs w:val="21"/>
          <w:u w:val="single"/>
        </w:rPr>
      </w:pPr>
      <w:r>
        <w:rPr>
          <w:rFonts w:hint="eastAsia" w:ascii="宋体" w:hAnsi="宋体" w:eastAsia="宋体" w:cs="宋体"/>
          <w:szCs w:val="32"/>
        </w:rPr>
        <w:t>②</w:t>
      </w:r>
      <w:r>
        <w:rPr>
          <w:rFonts w:hint="eastAsia" w:ascii="宋体" w:hAnsi="宋体" w:eastAsia="宋体" w:cs="Times New Roman"/>
        </w:rPr>
        <w:t>邮寄获取：供应商可以转账、电汇或网上汇款的形式支付磋商文件工本费和邮费，并于采购文件发售截止时间前到达</w:t>
      </w:r>
      <w:r>
        <w:rPr>
          <w:rFonts w:hint="eastAsia" w:ascii="宋体" w:hAnsi="宋体" w:eastAsia="宋体" w:cs="Times New Roman"/>
          <w:u w:val="single"/>
        </w:rPr>
        <w:t>广西信永工程咨询有限责任公司指定账户</w:t>
      </w:r>
      <w:r>
        <w:rPr>
          <w:rFonts w:hint="eastAsia" w:ascii="宋体" w:hAnsi="宋体" w:eastAsia="宋体" w:cs="Times New Roman"/>
        </w:rPr>
        <w:t>（户名：</w:t>
      </w:r>
      <w:r>
        <w:rPr>
          <w:rFonts w:hint="eastAsia" w:ascii="宋体" w:hAnsi="宋体" w:eastAsia="宋体" w:cs="Times New Roman"/>
          <w:u w:val="single"/>
        </w:rPr>
        <w:t>广西信永工程咨询有限责任公司</w:t>
      </w:r>
      <w:r>
        <w:rPr>
          <w:rFonts w:hint="eastAsia" w:ascii="宋体" w:hAnsi="宋体" w:eastAsia="宋体" w:cs="Times New Roman"/>
        </w:rPr>
        <w:t>，开户银行：</w:t>
      </w:r>
      <w:r>
        <w:rPr>
          <w:rFonts w:hint="eastAsia" w:ascii="宋体" w:hAnsi="宋体" w:eastAsia="宋体" w:cs="Times New Roman"/>
          <w:u w:val="single"/>
        </w:rPr>
        <w:t>招商银行南宁分行东盟商务区支行</w:t>
      </w:r>
      <w:r>
        <w:rPr>
          <w:rFonts w:hint="eastAsia" w:ascii="宋体" w:hAnsi="宋体" w:eastAsia="宋体" w:cs="Times New Roman"/>
        </w:rPr>
        <w:t>，银行账号：</w:t>
      </w:r>
      <w:r>
        <w:rPr>
          <w:rFonts w:hint="eastAsia" w:ascii="宋体" w:hAnsi="宋体" w:eastAsia="宋体" w:cs="Times New Roman"/>
          <w:u w:val="single"/>
        </w:rPr>
        <w:t>7719 0170 0110 101</w:t>
      </w:r>
      <w:r>
        <w:rPr>
          <w:rFonts w:hint="eastAsia" w:ascii="宋体" w:hAnsi="宋体" w:eastAsia="宋体" w:cs="Times New Roman"/>
        </w:rPr>
        <w:t>），供应商须在汇款凭据附言栏中写明项目编号、分标号（如有，请填写）及用途。供应商办理汇款后请将汇款凭据复印件、详细的收件人、邮寄地址、邮编、电子信箱、联系电话、传真号码等资料发送到我公司邮箱xinyong0628@163.com。如未能提供联系方式和准确的邮寄地址造成采购文件无法邮寄或无法联系的，后果由供应商自负。</w:t>
      </w:r>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Times New Roman"/>
          <w:szCs w:val="21"/>
        </w:rPr>
        <w:t>售价：招标文件工本费每套</w:t>
      </w:r>
      <w:r>
        <w:rPr>
          <w:rFonts w:hint="eastAsia" w:ascii="宋体" w:hAnsi="宋体" w:eastAsia="宋体" w:cs="Times New Roman"/>
          <w:szCs w:val="21"/>
          <w:u w:val="single"/>
        </w:rPr>
        <w:t>300</w:t>
      </w:r>
      <w:r>
        <w:rPr>
          <w:rFonts w:hint="eastAsia" w:ascii="宋体" w:hAnsi="宋体" w:eastAsia="宋体" w:cs="Times New Roman"/>
          <w:szCs w:val="21"/>
        </w:rPr>
        <w:t>元，</w:t>
      </w:r>
      <w:r>
        <w:rPr>
          <w:rFonts w:hint="eastAsia" w:ascii="宋体" w:hAnsi="宋体" w:eastAsia="宋体" w:cs="Times New Roman"/>
        </w:rPr>
        <w:t>售后不退</w:t>
      </w:r>
      <w:r>
        <w:rPr>
          <w:rFonts w:hint="eastAsia" w:ascii="宋体" w:hAnsi="宋体" w:eastAsia="宋体" w:cs="Times New Roman"/>
          <w:szCs w:val="21"/>
        </w:rPr>
        <w:t>。</w:t>
      </w:r>
    </w:p>
    <w:p>
      <w:pPr>
        <w:pStyle w:val="4"/>
        <w:pageBreakBefore w:val="0"/>
        <w:widowControl w:val="0"/>
        <w:kinsoku/>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bCs w:val="0"/>
          <w:sz w:val="24"/>
          <w:szCs w:val="24"/>
        </w:rPr>
      </w:pPr>
      <w:bookmarkStart w:id="27" w:name="_Toc29059"/>
      <w:bookmarkStart w:id="28" w:name="_Toc23102"/>
      <w:r>
        <w:rPr>
          <w:rFonts w:hint="eastAsia" w:ascii="宋体" w:hAnsi="宋体" w:eastAsia="宋体" w:cs="宋体"/>
          <w:bCs w:val="0"/>
          <w:sz w:val="24"/>
          <w:szCs w:val="24"/>
        </w:rPr>
        <w:t>四、响应文件提交</w:t>
      </w:r>
      <w:bookmarkEnd w:id="22"/>
      <w:bookmarkEnd w:id="23"/>
      <w:bookmarkEnd w:id="24"/>
      <w:bookmarkEnd w:id="25"/>
      <w:bookmarkEnd w:id="26"/>
      <w:bookmarkEnd w:id="27"/>
      <w:bookmarkEnd w:id="28"/>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Cs w:val="21"/>
          <w:u w:val="single"/>
        </w:rPr>
      </w:pPr>
      <w:r>
        <w:rPr>
          <w:rFonts w:hint="eastAsia" w:ascii="宋体" w:hAnsi="宋体" w:eastAsia="宋体" w:cs="Times New Roman"/>
          <w:szCs w:val="21"/>
        </w:rPr>
        <w:t>截止时间：</w:t>
      </w:r>
      <w:r>
        <w:rPr>
          <w:rFonts w:hint="eastAsia" w:ascii="宋体" w:hAnsi="宋体" w:eastAsia="宋体" w:cs="宋体"/>
          <w:szCs w:val="21"/>
          <w:u w:val="single"/>
          <w:lang w:val="en-US" w:eastAsia="zh-CN"/>
        </w:rPr>
        <w:t>2023</w:t>
      </w:r>
      <w:r>
        <w:rPr>
          <w:rFonts w:hint="eastAsia" w:ascii="宋体" w:hAnsi="宋体" w:eastAsia="宋体" w:cs="宋体"/>
          <w:szCs w:val="21"/>
          <w:u w:val="single"/>
        </w:rPr>
        <w:t>年</w:t>
      </w:r>
      <w:r>
        <w:rPr>
          <w:rFonts w:hint="eastAsia" w:ascii="宋体" w:hAnsi="宋体" w:eastAsia="宋体" w:cs="宋体"/>
          <w:szCs w:val="21"/>
          <w:u w:val="single"/>
          <w:lang w:val="en-US" w:eastAsia="zh-CN"/>
        </w:rPr>
        <w:t>1</w:t>
      </w:r>
      <w:r>
        <w:rPr>
          <w:rFonts w:hint="eastAsia" w:ascii="宋体" w:hAnsi="宋体" w:eastAsia="宋体" w:cs="宋体"/>
          <w:szCs w:val="21"/>
          <w:u w:val="single"/>
        </w:rPr>
        <w:t>月</w:t>
      </w:r>
      <w:r>
        <w:rPr>
          <w:rFonts w:hint="eastAsia" w:ascii="宋体" w:hAnsi="宋体" w:eastAsia="宋体" w:cs="宋体"/>
          <w:szCs w:val="21"/>
          <w:u w:val="single"/>
          <w:lang w:val="en-US" w:eastAsia="zh-CN"/>
        </w:rPr>
        <w:t>10</w:t>
      </w:r>
      <w:r>
        <w:rPr>
          <w:rFonts w:hint="eastAsia" w:ascii="宋体" w:hAnsi="宋体" w:eastAsia="宋体" w:cs="宋体"/>
          <w:szCs w:val="21"/>
          <w:u w:val="single"/>
        </w:rPr>
        <w:t>日1</w:t>
      </w:r>
      <w:r>
        <w:rPr>
          <w:rFonts w:hint="eastAsia" w:ascii="宋体" w:hAnsi="宋体" w:eastAsia="宋体" w:cs="宋体"/>
          <w:szCs w:val="21"/>
          <w:u w:val="single"/>
          <w:lang w:val="en-US" w:eastAsia="zh-CN"/>
        </w:rPr>
        <w:t>5</w:t>
      </w:r>
      <w:r>
        <w:rPr>
          <w:rFonts w:hint="eastAsia" w:ascii="宋体" w:hAnsi="宋体" w:eastAsia="宋体" w:cs="宋体"/>
          <w:szCs w:val="21"/>
          <w:u w:val="single"/>
        </w:rPr>
        <w:t>时00分</w:t>
      </w:r>
      <w:r>
        <w:rPr>
          <w:rFonts w:hint="eastAsia" w:ascii="宋体" w:hAnsi="宋体" w:eastAsia="宋体" w:cs="宋体"/>
          <w:bCs/>
          <w:szCs w:val="21"/>
        </w:rPr>
        <w:t>（北京时间）</w:t>
      </w:r>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地点：广西信永工程咨询有限责任公司开标室（南宁市青秀区中柬路9号利海•亚洲国际4号楼领峰A座610室）。</w:t>
      </w:r>
    </w:p>
    <w:p>
      <w:pPr>
        <w:pStyle w:val="4"/>
        <w:pageBreakBefore w:val="0"/>
        <w:widowControl w:val="0"/>
        <w:kinsoku/>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bCs w:val="0"/>
          <w:sz w:val="24"/>
          <w:szCs w:val="24"/>
        </w:rPr>
      </w:pPr>
      <w:bookmarkStart w:id="29" w:name="_Toc28359016"/>
      <w:bookmarkStart w:id="30" w:name="_Toc44229882"/>
      <w:bookmarkStart w:id="31" w:name="_Toc35393802"/>
      <w:bookmarkStart w:id="32" w:name="_Toc35393633"/>
      <w:bookmarkStart w:id="33" w:name="_Toc9395"/>
      <w:bookmarkStart w:id="34" w:name="_Toc28359093"/>
      <w:bookmarkStart w:id="35" w:name="_Toc17377"/>
      <w:r>
        <w:rPr>
          <w:rFonts w:hint="eastAsia" w:ascii="宋体" w:hAnsi="宋体" w:eastAsia="宋体" w:cs="宋体"/>
          <w:bCs w:val="0"/>
          <w:sz w:val="24"/>
          <w:szCs w:val="24"/>
        </w:rPr>
        <w:t>五、开启</w:t>
      </w:r>
      <w:bookmarkEnd w:id="29"/>
      <w:bookmarkEnd w:id="30"/>
      <w:bookmarkEnd w:id="31"/>
      <w:bookmarkEnd w:id="32"/>
      <w:bookmarkEnd w:id="33"/>
      <w:bookmarkEnd w:id="34"/>
      <w:bookmarkEnd w:id="35"/>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Cs w:val="21"/>
          <w:u w:val="single"/>
        </w:rPr>
      </w:pPr>
      <w:r>
        <w:rPr>
          <w:rFonts w:hint="eastAsia" w:ascii="宋体" w:hAnsi="宋体" w:eastAsia="宋体" w:cs="宋体"/>
          <w:szCs w:val="21"/>
        </w:rPr>
        <w:t>时间：</w:t>
      </w:r>
      <w:r>
        <w:rPr>
          <w:rFonts w:hint="eastAsia" w:ascii="宋体" w:hAnsi="宋体" w:eastAsia="宋体" w:cs="宋体"/>
          <w:szCs w:val="21"/>
          <w:u w:val="single"/>
          <w:lang w:val="en-US" w:eastAsia="zh-CN"/>
        </w:rPr>
        <w:t>2023</w:t>
      </w:r>
      <w:r>
        <w:rPr>
          <w:rFonts w:hint="eastAsia" w:ascii="宋体" w:hAnsi="宋体" w:eastAsia="宋体" w:cs="宋体"/>
          <w:szCs w:val="21"/>
          <w:u w:val="single"/>
        </w:rPr>
        <w:t>年</w:t>
      </w:r>
      <w:r>
        <w:rPr>
          <w:rFonts w:hint="eastAsia" w:ascii="宋体" w:hAnsi="宋体" w:eastAsia="宋体" w:cs="宋体"/>
          <w:szCs w:val="21"/>
          <w:u w:val="single"/>
          <w:lang w:val="en-US" w:eastAsia="zh-CN"/>
        </w:rPr>
        <w:t>1</w:t>
      </w:r>
      <w:r>
        <w:rPr>
          <w:rFonts w:hint="eastAsia" w:ascii="宋体" w:hAnsi="宋体" w:eastAsia="宋体" w:cs="宋体"/>
          <w:szCs w:val="21"/>
          <w:u w:val="single"/>
        </w:rPr>
        <w:t>月</w:t>
      </w:r>
      <w:r>
        <w:rPr>
          <w:rFonts w:hint="eastAsia" w:ascii="宋体" w:hAnsi="宋体" w:eastAsia="宋体" w:cs="宋体"/>
          <w:szCs w:val="21"/>
          <w:u w:val="single"/>
          <w:lang w:val="en-US" w:eastAsia="zh-CN"/>
        </w:rPr>
        <w:t>10</w:t>
      </w:r>
      <w:r>
        <w:rPr>
          <w:rFonts w:hint="eastAsia" w:ascii="宋体" w:hAnsi="宋体" w:eastAsia="宋体" w:cs="宋体"/>
          <w:szCs w:val="21"/>
          <w:u w:val="single"/>
        </w:rPr>
        <w:t>日1</w:t>
      </w:r>
      <w:r>
        <w:rPr>
          <w:rFonts w:hint="eastAsia" w:ascii="宋体" w:hAnsi="宋体" w:eastAsia="宋体" w:cs="宋体"/>
          <w:szCs w:val="21"/>
          <w:u w:val="single"/>
          <w:lang w:val="en-US" w:eastAsia="zh-CN"/>
        </w:rPr>
        <w:t>5</w:t>
      </w:r>
      <w:r>
        <w:rPr>
          <w:rFonts w:hint="eastAsia" w:ascii="宋体" w:hAnsi="宋体" w:eastAsia="宋体" w:cs="宋体"/>
          <w:szCs w:val="21"/>
          <w:u w:val="single"/>
        </w:rPr>
        <w:t>时00分</w:t>
      </w:r>
      <w:r>
        <w:rPr>
          <w:rFonts w:hint="eastAsia" w:ascii="宋体" w:hAnsi="宋体" w:eastAsia="宋体" w:cs="宋体"/>
          <w:bCs/>
          <w:szCs w:val="21"/>
        </w:rPr>
        <w:t>（北京时间）</w:t>
      </w:r>
      <w:r>
        <w:rPr>
          <w:rFonts w:hint="eastAsia" w:ascii="宋体" w:hAnsi="宋体" w:eastAsia="宋体" w:cs="宋体"/>
          <w:szCs w:val="21"/>
        </w:rPr>
        <w:t>后</w:t>
      </w:r>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Cs w:val="21"/>
          <w:u w:val="single"/>
        </w:rPr>
      </w:pPr>
      <w:r>
        <w:rPr>
          <w:rFonts w:hint="eastAsia" w:ascii="宋体" w:hAnsi="宋体" w:eastAsia="宋体" w:cs="宋体"/>
          <w:szCs w:val="21"/>
        </w:rPr>
        <w:t>地点：</w:t>
      </w:r>
      <w:r>
        <w:rPr>
          <w:rFonts w:hint="eastAsia" w:ascii="宋体" w:hAnsi="宋体" w:eastAsia="宋体" w:cs="宋体"/>
          <w:szCs w:val="21"/>
          <w:u w:val="single"/>
        </w:rPr>
        <w:t xml:space="preserve"> 广西信永工程咨询有限责任公司开标室（南宁市青秀区中柬路9号利海•亚洲国际4号楼领峰A座610室）</w:t>
      </w:r>
    </w:p>
    <w:p>
      <w:pPr>
        <w:pStyle w:val="4"/>
        <w:pageBreakBefore w:val="0"/>
        <w:widowControl w:val="0"/>
        <w:kinsoku/>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bCs w:val="0"/>
          <w:sz w:val="24"/>
          <w:szCs w:val="24"/>
        </w:rPr>
      </w:pPr>
      <w:bookmarkStart w:id="36" w:name="_Toc28359094"/>
      <w:bookmarkStart w:id="37" w:name="_Toc24052"/>
      <w:bookmarkStart w:id="38" w:name="_Toc35393803"/>
      <w:bookmarkStart w:id="39" w:name="_Toc35393634"/>
      <w:bookmarkStart w:id="40" w:name="_Toc5370"/>
      <w:bookmarkStart w:id="41" w:name="_Toc44229883"/>
      <w:bookmarkStart w:id="42" w:name="_Toc28359017"/>
      <w:r>
        <w:rPr>
          <w:rFonts w:hint="eastAsia" w:ascii="宋体" w:hAnsi="宋体" w:eastAsia="宋体" w:cs="宋体"/>
          <w:bCs w:val="0"/>
          <w:sz w:val="24"/>
          <w:szCs w:val="24"/>
        </w:rPr>
        <w:t>六、公告期限</w:t>
      </w:r>
      <w:bookmarkEnd w:id="36"/>
      <w:bookmarkEnd w:id="37"/>
      <w:bookmarkEnd w:id="38"/>
      <w:bookmarkEnd w:id="39"/>
      <w:bookmarkEnd w:id="40"/>
      <w:bookmarkEnd w:id="41"/>
      <w:bookmarkEnd w:id="42"/>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自本公告发布之日起3个工作日。</w:t>
      </w:r>
    </w:p>
    <w:p>
      <w:pPr>
        <w:pStyle w:val="4"/>
        <w:pageBreakBefore w:val="0"/>
        <w:widowControl w:val="0"/>
        <w:kinsoku/>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bCs w:val="0"/>
          <w:sz w:val="24"/>
          <w:szCs w:val="24"/>
        </w:rPr>
      </w:pPr>
      <w:bookmarkStart w:id="43" w:name="_Toc35393635"/>
      <w:bookmarkStart w:id="44" w:name="_Toc18438"/>
      <w:bookmarkStart w:id="45" w:name="_Toc35393804"/>
      <w:bookmarkStart w:id="46" w:name="_Toc30020"/>
      <w:bookmarkStart w:id="47" w:name="_Toc44229884"/>
      <w:r>
        <w:rPr>
          <w:rFonts w:hint="eastAsia" w:ascii="宋体" w:hAnsi="宋体" w:eastAsia="宋体" w:cs="宋体"/>
          <w:bCs w:val="0"/>
          <w:sz w:val="24"/>
          <w:szCs w:val="24"/>
        </w:rPr>
        <w:t>七、其他补充事宜</w:t>
      </w:r>
      <w:bookmarkEnd w:id="43"/>
      <w:bookmarkEnd w:id="44"/>
      <w:bookmarkEnd w:id="45"/>
      <w:bookmarkEnd w:id="46"/>
      <w:bookmarkEnd w:id="47"/>
    </w:p>
    <w:p>
      <w:pPr>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1.网上公告媒体查询：国家税务总局广西壮族自治区税务局南宁市频道（http://guangxi.chinatax.gov.cn/nanning/）、广西信永工程咨询有限责任公司网（http://www.gxxyzx.com）。</w:t>
      </w:r>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2.关于磋商的有关要求：</w:t>
      </w:r>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（1）磋商时间：</w:t>
      </w:r>
      <w:r>
        <w:rPr>
          <w:rFonts w:hint="eastAsia" w:ascii="宋体" w:hAnsi="宋体" w:eastAsia="宋体" w:cs="宋体"/>
          <w:szCs w:val="21"/>
          <w:u w:val="single"/>
          <w:lang w:val="en-US" w:eastAsia="zh-CN"/>
        </w:rPr>
        <w:t>2023</w:t>
      </w:r>
      <w:r>
        <w:rPr>
          <w:rFonts w:hint="eastAsia" w:ascii="宋体" w:hAnsi="宋体" w:eastAsia="宋体" w:cs="宋体"/>
          <w:szCs w:val="21"/>
          <w:u w:val="single"/>
        </w:rPr>
        <w:t>年</w:t>
      </w:r>
      <w:r>
        <w:rPr>
          <w:rFonts w:hint="eastAsia" w:ascii="宋体" w:hAnsi="宋体" w:eastAsia="宋体" w:cs="宋体"/>
          <w:szCs w:val="21"/>
          <w:u w:val="single"/>
          <w:lang w:val="en-US" w:eastAsia="zh-CN"/>
        </w:rPr>
        <w:t>1</w:t>
      </w:r>
      <w:r>
        <w:rPr>
          <w:rFonts w:hint="eastAsia" w:ascii="宋体" w:hAnsi="宋体" w:eastAsia="宋体" w:cs="宋体"/>
          <w:szCs w:val="21"/>
          <w:u w:val="single"/>
        </w:rPr>
        <w:t>月</w:t>
      </w:r>
      <w:r>
        <w:rPr>
          <w:rFonts w:hint="eastAsia" w:ascii="宋体" w:hAnsi="宋体" w:eastAsia="宋体" w:cs="宋体"/>
          <w:szCs w:val="21"/>
          <w:u w:val="single"/>
          <w:lang w:val="en-US" w:eastAsia="zh-CN"/>
        </w:rPr>
        <w:t>10</w:t>
      </w:r>
      <w:r>
        <w:rPr>
          <w:rFonts w:hint="eastAsia" w:ascii="宋体" w:hAnsi="宋体" w:eastAsia="宋体" w:cs="宋体"/>
          <w:szCs w:val="21"/>
          <w:u w:val="single"/>
        </w:rPr>
        <w:t>日1</w:t>
      </w:r>
      <w:r>
        <w:rPr>
          <w:rFonts w:hint="eastAsia" w:ascii="宋体" w:hAnsi="宋体" w:eastAsia="宋体" w:cs="宋体"/>
          <w:szCs w:val="21"/>
          <w:u w:val="single"/>
          <w:lang w:val="en-US" w:eastAsia="zh-CN"/>
        </w:rPr>
        <w:t>5</w:t>
      </w:r>
      <w:r>
        <w:rPr>
          <w:rFonts w:hint="eastAsia" w:ascii="宋体" w:hAnsi="宋体" w:eastAsia="宋体" w:cs="宋体"/>
          <w:szCs w:val="21"/>
          <w:u w:val="single"/>
        </w:rPr>
        <w:t>时00分</w:t>
      </w:r>
      <w:r>
        <w:rPr>
          <w:rFonts w:hint="eastAsia" w:ascii="宋体" w:hAnsi="宋体" w:eastAsia="宋体" w:cs="宋体"/>
          <w:szCs w:val="21"/>
        </w:rPr>
        <w:t>截止后为磋商小组与供应商磋商时间，具体时间由采购代理机构另行通知。</w:t>
      </w:r>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（2）磋商地点：</w:t>
      </w:r>
      <w:r>
        <w:rPr>
          <w:rFonts w:hint="eastAsia" w:ascii="宋体" w:hAnsi="宋体" w:eastAsia="宋体" w:cs="宋体"/>
          <w:szCs w:val="21"/>
          <w:u w:val="single"/>
        </w:rPr>
        <w:t>广西信永工程咨询有限责任公司评标室（南宁市青秀区中柬路9号利海•亚洲国际4号楼领峰A座610室）</w:t>
      </w:r>
      <w:r>
        <w:rPr>
          <w:rFonts w:hint="eastAsia" w:ascii="宋体" w:hAnsi="宋体" w:eastAsia="宋体" w:cs="宋体"/>
          <w:szCs w:val="21"/>
        </w:rPr>
        <w:t>，参加磋商的法定代表人(负责人)或委托代理人必须持有效证件[法定代表人(负责人)凭身份证，或委托代理人凭法定代表人(负责人)授权委托书原件和身份证]依时到达指定地点等候当面磋商。</w:t>
      </w:r>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rPr>
        <w:t>3.本项目需要落实的政府采购政策</w:t>
      </w:r>
      <w:r>
        <w:rPr>
          <w:rFonts w:hint="eastAsia" w:ascii="宋体" w:hAnsi="宋体" w:eastAsia="宋体" w:cs="宋体"/>
          <w:b w:val="0"/>
          <w:bCs w:val="0"/>
          <w:szCs w:val="21"/>
          <w:lang w:eastAsia="zh-CN"/>
        </w:rPr>
        <w:t>：</w:t>
      </w:r>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rPr>
        <w:t>（1）政府采购促进中小企业发展</w:t>
      </w:r>
      <w:r>
        <w:rPr>
          <w:rFonts w:hint="eastAsia" w:ascii="宋体" w:hAnsi="宋体" w:eastAsia="宋体" w:cs="宋体"/>
          <w:b w:val="0"/>
          <w:bCs w:val="0"/>
          <w:szCs w:val="21"/>
          <w:lang w:eastAsia="zh-CN"/>
        </w:rPr>
        <w:t>；</w:t>
      </w:r>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rPr>
        <w:t>（2）政府采购促进残疾人就业政策</w:t>
      </w:r>
      <w:r>
        <w:rPr>
          <w:rFonts w:hint="eastAsia" w:ascii="宋体" w:hAnsi="宋体" w:eastAsia="宋体" w:cs="宋体"/>
          <w:b w:val="0"/>
          <w:bCs w:val="0"/>
          <w:szCs w:val="21"/>
          <w:lang w:eastAsia="zh-CN"/>
        </w:rPr>
        <w:t>；</w:t>
      </w:r>
    </w:p>
    <w:p>
      <w:pPr>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）政府采购支持监狱企业发展。</w:t>
      </w:r>
    </w:p>
    <w:p>
      <w:pPr>
        <w:pageBreakBefore w:val="0"/>
        <w:widowControl w:val="0"/>
        <w:kinsoku/>
        <w:overflowPunct/>
        <w:topLinePunct w:val="0"/>
        <w:autoSpaceDE/>
        <w:autoSpaceDN/>
        <w:bidi w:val="0"/>
        <w:adjustRightInd/>
        <w:snapToGrid/>
        <w:spacing w:line="420" w:lineRule="exact"/>
        <w:ind w:firstLine="422" w:firstLineChars="200"/>
        <w:textAlignment w:val="auto"/>
        <w:rPr>
          <w:rFonts w:hint="eastAsia" w:ascii="Times New Roman" w:hAnsi="Times New Roman" w:eastAsia="宋体" w:cs="Times New Roman"/>
        </w:rPr>
      </w:pPr>
      <w:r>
        <w:rPr>
          <w:rFonts w:hint="eastAsia" w:ascii="宋体" w:hAnsi="宋体" w:eastAsia="宋体" w:cs="Times New Roman"/>
          <w:b/>
          <w:szCs w:val="32"/>
          <w:lang w:val="en-US" w:eastAsia="zh-CN"/>
        </w:rPr>
        <w:t>4.</w:t>
      </w:r>
      <w:r>
        <w:rPr>
          <w:rFonts w:hint="eastAsia" w:ascii="宋体" w:hAnsi="宋体" w:eastAsia="宋体" w:cs="Times New Roman"/>
          <w:b/>
          <w:szCs w:val="32"/>
        </w:rPr>
        <w:t>特殊说明：本项目为目录外标准下项目（非政府采购项目）</w:t>
      </w:r>
      <w:r>
        <w:rPr>
          <w:rFonts w:hint="eastAsia" w:ascii="宋体" w:hAnsi="宋体" w:eastAsia="宋体" w:cs="宋体"/>
          <w:b/>
          <w:bCs/>
          <w:szCs w:val="21"/>
        </w:rPr>
        <w:t>。</w:t>
      </w:r>
    </w:p>
    <w:p>
      <w:pPr>
        <w:pStyle w:val="4"/>
        <w:pageBreakBefore w:val="0"/>
        <w:widowControl w:val="0"/>
        <w:kinsoku/>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bCs w:val="0"/>
          <w:sz w:val="24"/>
          <w:szCs w:val="24"/>
        </w:rPr>
      </w:pPr>
      <w:bookmarkStart w:id="48" w:name="_Toc44229885"/>
      <w:bookmarkStart w:id="49" w:name="_Toc28359018"/>
      <w:bookmarkStart w:id="50" w:name="_Toc28359095"/>
      <w:bookmarkStart w:id="51" w:name="_Toc32584"/>
      <w:bookmarkStart w:id="52" w:name="_Toc35393636"/>
      <w:bookmarkStart w:id="53" w:name="_Toc35393805"/>
      <w:bookmarkStart w:id="54" w:name="_Toc32522"/>
      <w:r>
        <w:rPr>
          <w:rFonts w:hint="eastAsia" w:ascii="宋体" w:hAnsi="宋体" w:eastAsia="宋体" w:cs="宋体"/>
          <w:bCs w:val="0"/>
          <w:sz w:val="24"/>
          <w:szCs w:val="24"/>
        </w:rPr>
        <w:t>八、凡对本次采购提出询问，请按以下方式联系。</w:t>
      </w:r>
      <w:bookmarkEnd w:id="48"/>
      <w:bookmarkEnd w:id="49"/>
      <w:bookmarkEnd w:id="50"/>
      <w:bookmarkEnd w:id="51"/>
      <w:bookmarkEnd w:id="52"/>
      <w:bookmarkEnd w:id="53"/>
      <w:bookmarkEnd w:id="54"/>
    </w:p>
    <w:p>
      <w:pPr>
        <w:pageBreakBefore w:val="0"/>
        <w:widowControl w:val="0"/>
        <w:kinsoku/>
        <w:overflowPunct/>
        <w:topLinePunct w:val="0"/>
        <w:autoSpaceDE/>
        <w:autoSpaceDN/>
        <w:bidi w:val="0"/>
        <w:adjustRightInd/>
        <w:snapToGrid/>
        <w:spacing w:line="420" w:lineRule="exact"/>
        <w:ind w:left="1037" w:leftChars="304" w:hanging="399" w:hangingChars="190"/>
        <w:jc w:val="left"/>
        <w:textAlignment w:val="auto"/>
        <w:rPr>
          <w:rFonts w:hint="eastAsia" w:ascii="宋体" w:hAnsi="宋体" w:eastAsia="宋体" w:cs="宋体"/>
          <w:szCs w:val="21"/>
        </w:rPr>
      </w:pPr>
      <w:r>
        <w:rPr>
          <w:rFonts w:hint="eastAsia" w:ascii="宋体" w:hAnsi="宋体" w:eastAsia="宋体" w:cs="宋体"/>
          <w:szCs w:val="21"/>
        </w:rPr>
        <w:t>1.采购人信息</w:t>
      </w:r>
    </w:p>
    <w:p>
      <w:pPr>
        <w:pageBreakBefore w:val="0"/>
        <w:widowControl w:val="0"/>
        <w:kinsoku/>
        <w:overflowPunct/>
        <w:topLinePunct w:val="0"/>
        <w:autoSpaceDE/>
        <w:autoSpaceDN/>
        <w:bidi w:val="0"/>
        <w:adjustRightInd/>
        <w:snapToGrid/>
        <w:spacing w:line="420" w:lineRule="exact"/>
        <w:ind w:left="1041" w:leftChars="371" w:hanging="262" w:hangingChars="125"/>
        <w:jc w:val="left"/>
        <w:textAlignment w:val="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国家税务总局南宁高新技术产业开发区税务局　</w:t>
      </w:r>
    </w:p>
    <w:p>
      <w:pPr>
        <w:pageBreakBefore w:val="0"/>
        <w:widowControl w:val="0"/>
        <w:kinsoku/>
        <w:overflowPunct/>
        <w:topLinePunct w:val="0"/>
        <w:autoSpaceDE/>
        <w:autoSpaceDN/>
        <w:bidi w:val="0"/>
        <w:adjustRightInd/>
        <w:snapToGrid/>
        <w:spacing w:line="420" w:lineRule="exact"/>
        <w:ind w:left="1041" w:leftChars="371" w:hanging="262" w:hangingChars="125"/>
        <w:jc w:val="left"/>
        <w:textAlignment w:val="auto"/>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南宁市滨河路1号火炬大厦　</w:t>
      </w:r>
    </w:p>
    <w:p>
      <w:pPr>
        <w:pageBreakBefore w:val="0"/>
        <w:widowControl w:val="0"/>
        <w:kinsoku/>
        <w:overflowPunct/>
        <w:topLinePunct w:val="0"/>
        <w:autoSpaceDE/>
        <w:autoSpaceDN/>
        <w:bidi w:val="0"/>
        <w:adjustRightInd/>
        <w:snapToGrid/>
        <w:spacing w:line="420" w:lineRule="exact"/>
        <w:ind w:left="1041" w:leftChars="371" w:hanging="262" w:hangingChars="125"/>
        <w:jc w:val="left"/>
        <w:textAlignment w:val="auto"/>
        <w:rPr>
          <w:rFonts w:hint="eastAsia" w:ascii="宋体" w:hAnsi="宋体" w:eastAsia="宋体" w:cs="宋体"/>
          <w:szCs w:val="21"/>
          <w:u w:val="single"/>
        </w:rPr>
      </w:pPr>
      <w:r>
        <w:rPr>
          <w:rFonts w:hint="eastAsia" w:ascii="宋体" w:hAnsi="宋体" w:eastAsia="宋体" w:cs="宋体"/>
          <w:szCs w:val="21"/>
        </w:rPr>
        <w:t>联系方式：</w:t>
      </w:r>
      <w:bookmarkStart w:id="55" w:name="_Toc28359086"/>
      <w:bookmarkStart w:id="56" w:name="_Toc28359009"/>
      <w:r>
        <w:rPr>
          <w:rFonts w:hint="eastAsia" w:ascii="宋体" w:hAnsi="宋体" w:eastAsia="宋体" w:cs="宋体"/>
          <w:szCs w:val="21"/>
          <w:u w:val="single"/>
        </w:rPr>
        <w:t xml:space="preserve"> 叶欢，0771-5816810   </w:t>
      </w:r>
      <w:r>
        <w:rPr>
          <w:rFonts w:hint="eastAsia" w:ascii="宋体" w:hAnsi="宋体" w:eastAsia="宋体" w:cs="宋体"/>
          <w:szCs w:val="21"/>
        </w:rPr>
        <w:t xml:space="preserve">   </w:t>
      </w:r>
    </w:p>
    <w:p>
      <w:pPr>
        <w:pageBreakBefore w:val="0"/>
        <w:widowControl w:val="0"/>
        <w:kinsoku/>
        <w:overflowPunct/>
        <w:topLinePunct w:val="0"/>
        <w:autoSpaceDE/>
        <w:autoSpaceDN/>
        <w:bidi w:val="0"/>
        <w:adjustRightInd/>
        <w:snapToGrid/>
        <w:spacing w:line="420" w:lineRule="exact"/>
        <w:ind w:left="1037" w:leftChars="304" w:hanging="399" w:hangingChars="190"/>
        <w:jc w:val="left"/>
        <w:textAlignment w:val="auto"/>
        <w:rPr>
          <w:rFonts w:hint="eastAsia" w:ascii="宋体" w:hAnsi="宋体" w:eastAsia="宋体" w:cs="宋体"/>
          <w:szCs w:val="21"/>
        </w:rPr>
      </w:pPr>
      <w:r>
        <w:rPr>
          <w:rFonts w:hint="eastAsia" w:ascii="宋体" w:hAnsi="宋体" w:eastAsia="宋体" w:cs="宋体"/>
          <w:szCs w:val="21"/>
        </w:rPr>
        <w:t>2.采购代理机构信息</w:t>
      </w:r>
      <w:bookmarkEnd w:id="55"/>
      <w:bookmarkEnd w:id="56"/>
    </w:p>
    <w:p>
      <w:pPr>
        <w:pageBreakBefore w:val="0"/>
        <w:widowControl w:val="0"/>
        <w:kinsoku/>
        <w:overflowPunct/>
        <w:topLinePunct w:val="0"/>
        <w:autoSpaceDE/>
        <w:autoSpaceDN/>
        <w:bidi w:val="0"/>
        <w:adjustRightInd/>
        <w:snapToGrid/>
        <w:spacing w:line="420" w:lineRule="exact"/>
        <w:ind w:left="1041" w:leftChars="371" w:hanging="262" w:hangingChars="125"/>
        <w:jc w:val="left"/>
        <w:textAlignment w:val="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广西信永工程咨询有限责任公司　</w:t>
      </w:r>
    </w:p>
    <w:p>
      <w:pPr>
        <w:pageBreakBefore w:val="0"/>
        <w:widowControl w:val="0"/>
        <w:kinsoku/>
        <w:overflowPunct/>
        <w:topLinePunct w:val="0"/>
        <w:autoSpaceDE/>
        <w:autoSpaceDN/>
        <w:bidi w:val="0"/>
        <w:adjustRightInd/>
        <w:snapToGrid/>
        <w:spacing w:line="420" w:lineRule="exact"/>
        <w:ind w:left="1041" w:leftChars="371" w:hanging="262" w:hangingChars="125"/>
        <w:jc w:val="left"/>
        <w:textAlignment w:val="auto"/>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南宁市青秀区中柬路9号利海·亚洲国际4号楼领峰A座610室　</w:t>
      </w:r>
    </w:p>
    <w:p>
      <w:pPr>
        <w:pageBreakBefore w:val="0"/>
        <w:widowControl w:val="0"/>
        <w:kinsoku/>
        <w:overflowPunct/>
        <w:topLinePunct w:val="0"/>
        <w:autoSpaceDE/>
        <w:autoSpaceDN/>
        <w:bidi w:val="0"/>
        <w:adjustRightInd/>
        <w:snapToGrid/>
        <w:spacing w:line="420" w:lineRule="exact"/>
        <w:ind w:left="1041" w:leftChars="371" w:hanging="262" w:hangingChars="125"/>
        <w:jc w:val="left"/>
        <w:textAlignment w:val="auto"/>
        <w:rPr>
          <w:rFonts w:hint="eastAsia" w:ascii="宋体" w:hAnsi="宋体" w:eastAsia="宋体" w:cs="宋体"/>
          <w:szCs w:val="21"/>
        </w:rPr>
      </w:pPr>
      <w:r>
        <w:rPr>
          <w:rFonts w:hint="eastAsia" w:ascii="宋体" w:hAnsi="宋体" w:eastAsia="宋体" w:cs="宋体"/>
          <w:szCs w:val="21"/>
        </w:rPr>
        <w:t>联系方式：</w:t>
      </w:r>
      <w:bookmarkStart w:id="57" w:name="_Toc28359010"/>
      <w:bookmarkStart w:id="58" w:name="_Toc28359087"/>
      <w:r>
        <w:rPr>
          <w:rFonts w:hint="eastAsia" w:ascii="宋体" w:hAnsi="宋体" w:eastAsia="宋体" w:cs="宋体"/>
          <w:szCs w:val="21"/>
          <w:u w:val="single"/>
        </w:rPr>
        <w:t>　黄弋珊、文雅  联系电话：0771-5783329（分机号：821）　</w:t>
      </w:r>
    </w:p>
    <w:p>
      <w:pPr>
        <w:pageBreakBefore w:val="0"/>
        <w:widowControl w:val="0"/>
        <w:kinsoku/>
        <w:overflowPunct/>
        <w:topLinePunct w:val="0"/>
        <w:autoSpaceDE/>
        <w:autoSpaceDN/>
        <w:bidi w:val="0"/>
        <w:adjustRightInd/>
        <w:snapToGrid/>
        <w:spacing w:line="420" w:lineRule="exact"/>
        <w:ind w:firstLine="638" w:firstLineChars="304"/>
        <w:textAlignment w:val="auto"/>
        <w:rPr>
          <w:rFonts w:hint="eastAsia" w:ascii="宋体" w:hAnsi="宋体" w:eastAsia="宋体" w:cs="宋体"/>
          <w:szCs w:val="21"/>
          <w:u w:val="single"/>
        </w:rPr>
      </w:pPr>
      <w:r>
        <w:rPr>
          <w:rFonts w:hint="eastAsia" w:ascii="宋体" w:hAnsi="宋体" w:eastAsia="宋体" w:cs="宋体"/>
          <w:szCs w:val="21"/>
        </w:rPr>
        <w:t>3.项目联系方式</w:t>
      </w:r>
      <w:bookmarkEnd w:id="57"/>
      <w:bookmarkEnd w:id="58"/>
    </w:p>
    <w:p>
      <w:pPr>
        <w:pageBreakBefore w:val="0"/>
        <w:widowControl w:val="0"/>
        <w:kinsoku/>
        <w:overflowPunct/>
        <w:topLinePunct w:val="0"/>
        <w:autoSpaceDE/>
        <w:autoSpaceDN/>
        <w:bidi w:val="0"/>
        <w:adjustRightInd/>
        <w:snapToGrid/>
        <w:spacing w:line="420" w:lineRule="exact"/>
        <w:ind w:left="1041" w:leftChars="371" w:hanging="262" w:hangingChars="125"/>
        <w:jc w:val="left"/>
        <w:textAlignment w:val="auto"/>
        <w:rPr>
          <w:rFonts w:hint="eastAsia" w:ascii="Times New Roman" w:hAnsi="宋体" w:eastAsia="宋体" w:cs="宋体"/>
        </w:rPr>
      </w:pPr>
      <w:r>
        <w:rPr>
          <w:rFonts w:hint="eastAsia" w:ascii="宋体" w:hAnsi="宋体" w:eastAsia="宋体" w:cs="宋体"/>
          <w:szCs w:val="21"/>
        </w:rPr>
        <w:t>项目</w:t>
      </w:r>
      <w:r>
        <w:rPr>
          <w:rFonts w:hint="eastAsia" w:ascii="Times New Roman" w:hAnsi="宋体" w:eastAsia="宋体" w:cs="宋体"/>
        </w:rPr>
        <w:t>联系人：</w:t>
      </w:r>
      <w:r>
        <w:rPr>
          <w:rFonts w:hint="eastAsia" w:ascii="Times New Roman" w:hAnsi="宋体" w:eastAsia="宋体" w:cs="宋体"/>
          <w:u w:val="single"/>
        </w:rPr>
        <w:t xml:space="preserve">  黄弋珊、文雅   </w:t>
      </w:r>
    </w:p>
    <w:p>
      <w:pPr>
        <w:pageBreakBefore w:val="0"/>
        <w:widowControl w:val="0"/>
        <w:kinsoku/>
        <w:overflowPunct/>
        <w:topLinePunct w:val="0"/>
        <w:autoSpaceDE/>
        <w:autoSpaceDN/>
        <w:bidi w:val="0"/>
        <w:adjustRightInd/>
        <w:snapToGrid/>
        <w:spacing w:line="420" w:lineRule="exact"/>
        <w:ind w:left="1041" w:leftChars="371" w:hanging="262" w:hangingChars="125"/>
        <w:jc w:val="left"/>
        <w:textAlignment w:val="auto"/>
        <w:rPr>
          <w:rFonts w:hint="eastAsia"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　0771-5783329（分机号：821）</w:t>
      </w:r>
    </w:p>
    <w:p>
      <w:pPr>
        <w:spacing w:line="360" w:lineRule="auto"/>
        <w:jc w:val="right"/>
        <w:rPr>
          <w:rFonts w:hint="eastAsia" w:ascii="宋体" w:hAnsi="宋体" w:eastAsia="宋体" w:cs="宋体"/>
          <w:szCs w:val="21"/>
        </w:rPr>
      </w:pPr>
    </w:p>
    <w:p>
      <w:pPr>
        <w:spacing w:line="360" w:lineRule="auto"/>
        <w:jc w:val="right"/>
        <w:rPr>
          <w:rFonts w:hint="eastAsia" w:ascii="宋体" w:hAnsi="宋体" w:eastAsia="宋体" w:cs="宋体"/>
          <w:szCs w:val="21"/>
        </w:rPr>
      </w:pPr>
      <w:r>
        <w:rPr>
          <w:rFonts w:hint="eastAsia" w:ascii="宋体" w:hAnsi="宋体" w:eastAsia="宋体" w:cs="宋体"/>
          <w:szCs w:val="21"/>
        </w:rPr>
        <w:t>广西信永工程咨询有限责任公司</w:t>
      </w:r>
    </w:p>
    <w:p>
      <w:pPr>
        <w:spacing w:line="360" w:lineRule="auto"/>
        <w:jc w:val="right"/>
      </w:pPr>
      <w:r>
        <w:rPr>
          <w:rFonts w:hint="eastAsia" w:ascii="宋体" w:hAnsi="宋体" w:eastAsia="宋体" w:cs="宋体"/>
          <w:szCs w:val="21"/>
        </w:rPr>
        <w:t xml:space="preserve">                                 </w:t>
      </w:r>
      <w:bookmarkEnd w:id="0"/>
      <w:r>
        <w:rPr>
          <w:rFonts w:hint="eastAsia" w:ascii="宋体" w:hAnsi="宋体" w:eastAsia="宋体" w:cs="宋体"/>
          <w:szCs w:val="21"/>
          <w:lang w:val="en-US" w:eastAsia="zh-CN"/>
        </w:rPr>
        <w:t>2022</w:t>
      </w:r>
      <w:r>
        <w:rPr>
          <w:rFonts w:hint="eastAsia" w:ascii="宋体" w:hAnsi="宋体" w:eastAsia="宋体" w:cs="宋体"/>
          <w:szCs w:val="21"/>
        </w:rPr>
        <w:t>年</w:t>
      </w:r>
      <w:r>
        <w:rPr>
          <w:rFonts w:hint="eastAsia" w:ascii="宋体" w:hAnsi="宋体" w:eastAsia="宋体" w:cs="宋体"/>
          <w:szCs w:val="21"/>
          <w:lang w:val="en-US" w:eastAsia="zh-CN"/>
        </w:rPr>
        <w:t>12</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w:t>
      </w:r>
    </w:p>
    <w:sectPr>
      <w:footerReference r:id="rId3"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38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38</w:t>
                    </w:r>
                    <w:r>
                      <w:rPr>
                        <w:rFonts w:ascii="Times New Roman" w:hAnsi="Times New Roman" w:eastAsia="宋体" w:cs="Times New Roman"/>
                      </w:rPr>
                      <w:fldChar w:fldCharType="end"/>
                    </w:r>
                  </w:p>
                </w:txbxContent>
              </v:textbox>
            </v:shape>
          </w:pict>
        </mc:Fallback>
      </mc:AlternateContent>
    </w:r>
  </w:p>
  <w:p>
    <w:pPr>
      <w:pStyle w:val="5"/>
      <w:rPr>
        <w:rFonts w:ascii="Times New Roman" w:hAnsi="Times New Roman"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6909F"/>
    <w:multiLevelType w:val="singleLevel"/>
    <w:tmpl w:val="C146909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M2RlNGMzNjZkYjM3ZDc3MTk0NmMyYzJmMDY0YzcifQ=="/>
  </w:docVars>
  <w:rsids>
    <w:rsidRoot w:val="00000000"/>
    <w:rsid w:val="17F84EE5"/>
    <w:rsid w:val="39C4164D"/>
    <w:rsid w:val="6E020BA6"/>
    <w:rsid w:val="73A8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9"/>
    <w:pPr>
      <w:keepNext/>
      <w:keepLines/>
      <w:widowControl w:val="0"/>
      <w:spacing w:before="340" w:after="330" w:line="578" w:lineRule="auto"/>
      <w:jc w:val="both"/>
      <w:outlineLvl w:val="0"/>
    </w:pPr>
    <w:rPr>
      <w:rFonts w:ascii="等线" w:hAnsi="等线" w:eastAsia="等线" w:cs="宋体"/>
      <w:b/>
      <w:bCs/>
      <w:kern w:val="44"/>
      <w:sz w:val="44"/>
      <w:szCs w:val="44"/>
      <w:lang w:val="en-US" w:eastAsia="zh-CN" w:bidi="ar-SA"/>
    </w:rPr>
  </w:style>
  <w:style w:type="paragraph" w:styleId="4">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next w:val="1"/>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5">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2078</Words>
  <Characters>2351</Characters>
  <Lines>0</Lines>
  <Paragraphs>0</Paragraphs>
  <TotalTime>2</TotalTime>
  <ScaleCrop>false</ScaleCrop>
  <LinksUpToDate>false</LinksUpToDate>
  <CharactersWithSpaces>2422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2022-12-30T08:16:11Z</dcterms:created>
  <dc:creator>Administrator</dc:creator>
  <cp:lastModifiedBy>文雅</cp:lastModifiedBy>
  <dcterms:modified xsi:type="dcterms:W3CDTF">2022-12-30T08:20:46Z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C6A55906B8E6430AB0269755B1E37A8E</vt:lpwstr>
  </property>
</Properties>
</file>