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宋体" w:hAnsi="宋体" w:cs="宋体"/>
          <w:b/>
          <w:color w:val="000000" w:themeColor="text1"/>
          <w:sz w:val="48"/>
          <w:szCs w:val="48"/>
          <w14:textFill>
            <w14:solidFill>
              <w14:schemeClr w14:val="tx1"/>
            </w14:solidFill>
          </w14:textFill>
        </w:rPr>
      </w:pPr>
    </w:p>
    <w:p>
      <w:pPr>
        <w:topLinePunct/>
        <w:autoSpaceDE w:val="0"/>
        <w:autoSpaceDN w:val="0"/>
        <w:jc w:val="center"/>
        <w:rPr>
          <w:rFonts w:ascii="宋体" w:hAnsi="宋体" w:cs="宋体"/>
          <w:b/>
          <w:color w:val="000000" w:themeColor="text1"/>
          <w:sz w:val="48"/>
          <w:szCs w:val="48"/>
          <w14:textFill>
            <w14:solidFill>
              <w14:schemeClr w14:val="tx1"/>
            </w14:solidFill>
          </w14:textFill>
        </w:rPr>
      </w:pPr>
    </w:p>
    <w:p>
      <w:pPr>
        <w:jc w:val="center"/>
        <w:rPr>
          <w:rFonts w:ascii="微软雅黑" w:hAnsi="微软雅黑"/>
          <w:b/>
          <w:color w:val="000000" w:themeColor="text1"/>
          <w:sz w:val="84"/>
          <w:szCs w:val="84"/>
          <w14:textFill>
            <w14:solidFill>
              <w14:schemeClr w14:val="tx1"/>
            </w14:solidFill>
          </w14:textFill>
        </w:rPr>
      </w:pPr>
      <w:r>
        <w:rPr>
          <w:rFonts w:hint="eastAsia" w:ascii="微软雅黑" w:hAnsi="微软雅黑"/>
          <w:b/>
          <w:color w:val="000000" w:themeColor="text1"/>
          <w:sz w:val="84"/>
          <w:szCs w:val="84"/>
          <w14:textFill>
            <w14:solidFill>
              <w14:schemeClr w14:val="tx1"/>
            </w14:solidFill>
          </w14:textFill>
        </w:rPr>
        <w:drawing>
          <wp:inline distT="0" distB="0" distL="114300" distR="114300">
            <wp:extent cx="2809875" cy="11430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809875" cy="1143000"/>
                    </a:xfrm>
                    <a:prstGeom prst="rect">
                      <a:avLst/>
                    </a:prstGeom>
                    <a:noFill/>
                    <a:ln>
                      <a:noFill/>
                    </a:ln>
                  </pic:spPr>
                </pic:pic>
              </a:graphicData>
            </a:graphic>
          </wp:inline>
        </w:drawing>
      </w:r>
    </w:p>
    <w:p>
      <w:pPr>
        <w:pStyle w:val="17"/>
        <w:ind w:firstLine="214"/>
        <w:rPr>
          <w:color w:val="000000" w:themeColor="text1"/>
          <w14:textFill>
            <w14:solidFill>
              <w14:schemeClr w14:val="tx1"/>
            </w14:solidFill>
          </w14:textFill>
        </w:rPr>
      </w:pPr>
    </w:p>
    <w:p>
      <w:pPr>
        <w:jc w:val="center"/>
        <w:rPr>
          <w:color w:val="000000" w:themeColor="text1"/>
          <w:sz w:val="72"/>
          <w:szCs w:val="72"/>
          <w14:textFill>
            <w14:solidFill>
              <w14:schemeClr w14:val="tx1"/>
            </w14:solidFill>
          </w14:textFill>
        </w:rPr>
      </w:pPr>
      <w:r>
        <w:rPr>
          <w:rFonts w:hint="eastAsia" w:ascii="华文新魏" w:hAnsi="华文新魏" w:eastAsia="华文新魏"/>
          <w:color w:val="000000" w:themeColor="text1"/>
          <w:sz w:val="52"/>
          <w:szCs w:val="52"/>
          <w14:textFill>
            <w14:solidFill>
              <w14:schemeClr w14:val="tx1"/>
            </w14:solidFill>
          </w14:textFill>
        </w:rPr>
        <w:t>广西众联工程项目管理有限公司</w:t>
      </w:r>
    </w:p>
    <w:p>
      <w:pPr>
        <w:spacing w:line="400" w:lineRule="exact"/>
        <w:jc w:val="center"/>
        <w:rPr>
          <w:rFonts w:ascii="华文新魏" w:hAnsi="华文新魏" w:eastAsia="华文新魏"/>
          <w:color w:val="000000" w:themeColor="text1"/>
          <w:spacing w:val="116"/>
          <w:sz w:val="52"/>
          <w14:textFill>
            <w14:solidFill>
              <w14:schemeClr w14:val="tx1"/>
            </w14:solidFill>
          </w14:textFill>
        </w:rPr>
      </w:pPr>
    </w:p>
    <w:p>
      <w:pPr>
        <w:jc w:val="center"/>
        <w:rPr>
          <w:rFonts w:ascii="楷体_GB2312" w:eastAsia="楷体_GB2312"/>
          <w:b/>
          <w:bCs/>
          <w:color w:val="000000" w:themeColor="text1"/>
          <w:spacing w:val="100"/>
          <w:sz w:val="84"/>
          <w:szCs w:val="84"/>
          <w14:textFill>
            <w14:solidFill>
              <w14:schemeClr w14:val="tx1"/>
            </w14:solidFill>
          </w14:textFill>
        </w:rPr>
      </w:pPr>
    </w:p>
    <w:p>
      <w:pPr>
        <w:jc w:val="center"/>
        <w:rPr>
          <w:rFonts w:ascii="宋体" w:hAnsi="宋体" w:cs="宋体"/>
          <w:color w:val="000000" w:themeColor="text1"/>
          <w:szCs w:val="84"/>
          <w14:textFill>
            <w14:solidFill>
              <w14:schemeClr w14:val="tx1"/>
            </w14:solidFill>
          </w14:textFill>
        </w:rPr>
      </w:pPr>
      <w:r>
        <w:rPr>
          <w:rFonts w:hint="eastAsia" w:ascii="宋体" w:hAnsi="宋体" w:cs="宋体"/>
          <w:b/>
          <w:bCs/>
          <w:color w:val="000000" w:themeColor="text1"/>
          <w:spacing w:val="100"/>
          <w:sz w:val="84"/>
          <w:szCs w:val="84"/>
          <w14:textFill>
            <w14:solidFill>
              <w14:schemeClr w14:val="tx1"/>
            </w14:solidFill>
          </w14:textFill>
        </w:rPr>
        <w:t>磋商文件</w:t>
      </w:r>
    </w:p>
    <w:p>
      <w:pPr>
        <w:jc w:val="center"/>
        <w:rPr>
          <w:rFonts w:ascii="宋体" w:hAnsi="宋体" w:cs="宋体"/>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spacing w:line="480" w:lineRule="auto"/>
        <w:rPr>
          <w:b/>
          <w:color w:val="000000" w:themeColor="text1"/>
          <w:sz w:val="32"/>
          <w14:textFill>
            <w14:solidFill>
              <w14:schemeClr w14:val="tx1"/>
            </w14:solidFill>
          </w14:textFill>
        </w:rPr>
      </w:pPr>
    </w:p>
    <w:p>
      <w:pPr>
        <w:spacing w:line="480" w:lineRule="auto"/>
        <w:ind w:left="2564" w:leftChars="456" w:hanging="1606" w:hangingChars="5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项目名称：国家税务总局南宁市良庆区税务局2025年</w:t>
      </w:r>
    </w:p>
    <w:p>
      <w:pPr>
        <w:spacing w:line="480" w:lineRule="auto"/>
        <w:ind w:left="2554" w:leftChars="1216"/>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体检服务</w:t>
      </w:r>
    </w:p>
    <w:p>
      <w:pPr>
        <w:spacing w:line="480" w:lineRule="auto"/>
        <w:ind w:firstLine="964" w:firstLineChars="3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项目编号：ZB2025-160</w:t>
      </w:r>
    </w:p>
    <w:p>
      <w:pPr>
        <w:spacing w:line="480" w:lineRule="auto"/>
        <w:ind w:left="838" w:leftChars="399"/>
        <w:jc w:val="center"/>
        <w:rPr>
          <w:rFonts w:asciiTheme="minorEastAsia" w:hAnsiTheme="minorEastAsia" w:eastAsiaTheme="minorEastAsia" w:cstheme="minorEastAsia"/>
          <w:b/>
          <w:color w:val="000000" w:themeColor="text1"/>
          <w:sz w:val="32"/>
          <w14:textFill>
            <w14:solidFill>
              <w14:schemeClr w14:val="tx1"/>
            </w14:solidFill>
          </w14:textFill>
        </w:rPr>
      </w:pPr>
    </w:p>
    <w:p>
      <w:pPr>
        <w:spacing w:line="480" w:lineRule="auto"/>
        <w:rPr>
          <w:rFonts w:asciiTheme="minorEastAsia" w:hAnsiTheme="minorEastAsia" w:eastAsiaTheme="minorEastAsia" w:cstheme="minorEastAsia"/>
          <w:b/>
          <w:color w:val="000000" w:themeColor="text1"/>
          <w:sz w:val="32"/>
          <w:szCs w:val="32"/>
          <w14:textFill>
            <w14:solidFill>
              <w14:schemeClr w14:val="tx1"/>
            </w14:solidFill>
          </w14:textFill>
        </w:rPr>
      </w:pPr>
    </w:p>
    <w:p>
      <w:pPr>
        <w:spacing w:line="480" w:lineRule="auto"/>
        <w:ind w:firstLine="1163" w:firstLineChars="362"/>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采购单位：</w:t>
      </w:r>
      <w:r>
        <w:rPr>
          <w:rFonts w:hint="eastAsia" w:asciiTheme="minorEastAsia" w:hAnsiTheme="minorEastAsia" w:eastAsiaTheme="minorEastAsia" w:cstheme="minorEastAsia"/>
          <w:b/>
          <w:color w:val="000000" w:themeColor="text1"/>
          <w:sz w:val="32"/>
          <w14:textFill>
            <w14:solidFill>
              <w14:schemeClr w14:val="tx1"/>
            </w14:solidFill>
          </w14:textFill>
        </w:rPr>
        <w:t>国家税务总局南宁市良庆区税务局</w:t>
      </w:r>
    </w:p>
    <w:p>
      <w:pPr>
        <w:spacing w:line="480" w:lineRule="auto"/>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采购代理机构：广西众联工程项目管理有限公司</w:t>
      </w:r>
    </w:p>
    <w:p>
      <w:pPr>
        <w:jc w:val="center"/>
        <w:rPr>
          <w:rFonts w:ascii="宋体" w:hAnsi="宋体" w:cs="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2025年5月</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19</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footerReference r:id="rId3" w:type="default"/>
          <w:pgSz w:w="11906" w:h="16838"/>
          <w:pgMar w:top="1417" w:right="1418" w:bottom="1417" w:left="1417" w:header="851" w:footer="992" w:gutter="0"/>
          <w:cols w:space="720" w:num="1"/>
          <w:docGrid w:type="lines" w:linePitch="312" w:charSpace="0"/>
        </w:sect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目  录</w:t>
      </w:r>
    </w:p>
    <w:p>
      <w:pPr>
        <w:pStyle w:val="13"/>
        <w:tabs>
          <w:tab w:val="right" w:leader="dot" w:pos="9072"/>
        </w:tabs>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TOC \o "1-3" \h \z \u </w:instrText>
      </w:r>
      <w:r>
        <w:rPr>
          <w:rFonts w:hint="eastAsia" w:ascii="宋体" w:hAnsi="宋体" w:cs="宋体"/>
          <w:color w:val="000000" w:themeColor="text1"/>
          <w14:textFill>
            <w14:solidFill>
              <w14:schemeClr w14:val="tx1"/>
            </w14:solidFill>
          </w14:textFill>
        </w:rPr>
        <w:fldChar w:fldCharType="separate"/>
      </w:r>
      <w:r>
        <w:fldChar w:fldCharType="begin"/>
      </w:r>
      <w:r>
        <w:instrText xml:space="preserve"> HYPERLINK \l "_Toc21309" </w:instrText>
      </w:r>
      <w:r>
        <w:fldChar w:fldCharType="separate"/>
      </w:r>
      <w:r>
        <w:rPr>
          <w:rFonts w:hint="eastAsia" w:ascii="宋体" w:hAnsi="宋体" w:cs="宋体"/>
          <w:color w:val="000000" w:themeColor="text1"/>
          <w:szCs w:val="30"/>
          <w14:textFill>
            <w14:solidFill>
              <w14:schemeClr w14:val="tx1"/>
            </w14:solidFill>
          </w14:textFill>
        </w:rPr>
        <w:t>第一章  磋商邀请</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_Toc21309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"_Toc6063" </w:instrText>
      </w:r>
      <w:r>
        <w:fldChar w:fldCharType="separate"/>
      </w:r>
      <w:r>
        <w:rPr>
          <w:rFonts w:hint="eastAsia" w:ascii="宋体" w:hAnsi="宋体" w:cs="宋体"/>
          <w:color w:val="000000" w:themeColor="text1"/>
          <w:szCs w:val="30"/>
          <w14:textFill>
            <w14:solidFill>
              <w14:schemeClr w14:val="tx1"/>
            </w14:solidFill>
          </w14:textFill>
        </w:rPr>
        <w:t>第二章　供应商须知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_Toc6063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"_Toc32100" </w:instrText>
      </w:r>
      <w:r>
        <w:fldChar w:fldCharType="separate"/>
      </w:r>
      <w:r>
        <w:rPr>
          <w:rFonts w:hint="eastAsia" w:ascii="宋体" w:hAnsi="宋体" w:cs="宋体"/>
          <w:color w:val="000000" w:themeColor="text1"/>
          <w:szCs w:val="28"/>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_Toc32100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"_Toc29193" </w:instrText>
      </w:r>
      <w:r>
        <w:fldChar w:fldCharType="separate"/>
      </w:r>
      <w:r>
        <w:rPr>
          <w:rFonts w:hint="eastAsia" w:ascii="宋体" w:hAnsi="宋体" w:cs="宋体"/>
          <w:color w:val="000000" w:themeColor="text1"/>
          <w:szCs w:val="21"/>
          <w14:textFill>
            <w14:solidFill>
              <w14:schemeClr w14:val="tx1"/>
            </w14:solidFill>
          </w14:textFill>
        </w:rPr>
        <w:t>一、总则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_Toc29193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"_Toc11006" </w:instrText>
      </w:r>
      <w:r>
        <w:fldChar w:fldCharType="separate"/>
      </w:r>
      <w:r>
        <w:rPr>
          <w:rFonts w:hint="eastAsia" w:ascii="宋体" w:hAnsi="宋体" w:cs="宋体"/>
          <w:color w:val="000000" w:themeColor="text1"/>
          <w:szCs w:val="21"/>
          <w14:textFill>
            <w14:solidFill>
              <w14:schemeClr w14:val="tx1"/>
            </w14:solidFill>
          </w14:textFill>
        </w:rPr>
        <w:t>二、磋商文件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_Toc11006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17</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"_Toc25318" </w:instrText>
      </w:r>
      <w:r>
        <w:fldChar w:fldCharType="separate"/>
      </w:r>
      <w:r>
        <w:rPr>
          <w:rFonts w:hint="eastAsia" w:ascii="宋体" w:hAnsi="宋体" w:cs="宋体"/>
          <w:color w:val="000000" w:themeColor="text1"/>
          <w:szCs w:val="21"/>
          <w14:textFill>
            <w14:solidFill>
              <w14:schemeClr w14:val="tx1"/>
            </w14:solidFill>
          </w14:textFill>
        </w:rPr>
        <w:t>三、响应文件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_Toc25318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"_Toc23689" </w:instrText>
      </w:r>
      <w:r>
        <w:fldChar w:fldCharType="separate"/>
      </w:r>
      <w:r>
        <w:rPr>
          <w:rFonts w:hint="eastAsia" w:ascii="宋体" w:hAnsi="宋体" w:cs="宋体"/>
          <w:color w:val="000000" w:themeColor="text1"/>
          <w:szCs w:val="21"/>
          <w14:textFill>
            <w14:solidFill>
              <w14:schemeClr w14:val="tx1"/>
            </w14:solidFill>
          </w14:textFill>
        </w:rPr>
        <w:t>四、响应文件递交</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_Toc23689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"_Toc28284" </w:instrText>
      </w:r>
      <w:r>
        <w:fldChar w:fldCharType="separate"/>
      </w:r>
      <w:r>
        <w:rPr>
          <w:rFonts w:hint="eastAsia" w:ascii="宋体" w:hAnsi="宋体" w:cs="宋体"/>
          <w:color w:val="000000" w:themeColor="text1"/>
          <w:szCs w:val="21"/>
          <w14:textFill>
            <w14:solidFill>
              <w14:schemeClr w14:val="tx1"/>
            </w14:solidFill>
          </w14:textFill>
        </w:rPr>
        <w:t>五、磋商与评审</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_Toc28284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"_Toc21311" </w:instrText>
      </w:r>
      <w:r>
        <w:fldChar w:fldCharType="separate"/>
      </w:r>
      <w:r>
        <w:rPr>
          <w:rFonts w:hint="eastAsia" w:ascii="宋体" w:hAnsi="宋体" w:cs="宋体"/>
          <w:color w:val="000000" w:themeColor="text1"/>
          <w:szCs w:val="21"/>
          <w14:textFill>
            <w14:solidFill>
              <w14:schemeClr w14:val="tx1"/>
            </w14:solidFill>
          </w14:textFill>
        </w:rPr>
        <w:t>六、成交和合同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_Toc21311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"_Toc20370" </w:instrText>
      </w:r>
      <w:r>
        <w:fldChar w:fldCharType="separate"/>
      </w:r>
      <w:r>
        <w:rPr>
          <w:rFonts w:hint="eastAsia" w:ascii="宋体" w:hAnsi="宋体" w:cs="宋体"/>
          <w:color w:val="000000" w:themeColor="text1"/>
          <w:szCs w:val="21"/>
          <w14:textFill>
            <w14:solidFill>
              <w14:schemeClr w14:val="tx1"/>
            </w14:solidFill>
          </w14:textFill>
        </w:rPr>
        <w:t>七、询问和质疑</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_Toc20370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"_Toc11125" </w:instrText>
      </w:r>
      <w:r>
        <w:fldChar w:fldCharType="separate"/>
      </w:r>
      <w:r>
        <w:rPr>
          <w:rFonts w:hint="eastAsia" w:ascii="宋体" w:hAnsi="宋体" w:cs="宋体"/>
          <w:color w:val="000000" w:themeColor="text1"/>
          <w:szCs w:val="21"/>
          <w14:textFill>
            <w14:solidFill>
              <w14:schemeClr w14:val="tx1"/>
            </w14:solidFill>
          </w14:textFill>
        </w:rPr>
        <w:t>八、其他</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_Toc11125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"_Toc29484" </w:instrText>
      </w:r>
      <w:r>
        <w:fldChar w:fldCharType="separate"/>
      </w:r>
      <w:r>
        <w:rPr>
          <w:rFonts w:hint="eastAsia" w:ascii="宋体" w:hAnsi="宋体" w:cs="宋体"/>
          <w:color w:val="000000" w:themeColor="text1"/>
          <w:szCs w:val="30"/>
          <w14:textFill>
            <w14:solidFill>
              <w14:schemeClr w14:val="tx1"/>
            </w14:solidFill>
          </w14:textFill>
        </w:rPr>
        <w:t>第三章  评审方法及标准</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_Toc29484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"_Toc24599" </w:instrText>
      </w:r>
      <w:r>
        <w:fldChar w:fldCharType="separate"/>
      </w:r>
      <w:r>
        <w:rPr>
          <w:rFonts w:hint="eastAsia" w:ascii="宋体" w:hAnsi="宋体" w:cs="宋体"/>
          <w:color w:val="000000" w:themeColor="text1"/>
          <w:szCs w:val="30"/>
          <w14:textFill>
            <w14:solidFill>
              <w14:schemeClr w14:val="tx1"/>
            </w14:solidFill>
          </w14:textFill>
        </w:rPr>
        <w:t>第四章  采购合同文本</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_Toc24599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3"/>
        <w:tabs>
          <w:tab w:val="right" w:leader="dot" w:pos="9072"/>
        </w:tabs>
        <w:rPr>
          <w:rFonts w:ascii="宋体" w:hAnsi="宋体" w:cs="宋体"/>
          <w:color w:val="000000" w:themeColor="text1"/>
          <w14:textFill>
            <w14:solidFill>
              <w14:schemeClr w14:val="tx1"/>
            </w14:solidFill>
          </w14:textFill>
        </w:rPr>
      </w:pPr>
      <w:r>
        <w:fldChar w:fldCharType="begin"/>
      </w:r>
      <w:r>
        <w:instrText xml:space="preserve"> HYPERLINK \l "_Toc2708" </w:instrText>
      </w:r>
      <w:r>
        <w:fldChar w:fldCharType="separate"/>
      </w:r>
      <w:r>
        <w:rPr>
          <w:rFonts w:hint="eastAsia" w:ascii="宋体" w:hAnsi="宋体" w:cs="宋体"/>
          <w:color w:val="000000" w:themeColor="text1"/>
          <w:szCs w:val="30"/>
          <w14:textFill>
            <w14:solidFill>
              <w14:schemeClr w14:val="tx1"/>
            </w14:solidFill>
          </w14:textFill>
        </w:rPr>
        <w:t>第五章　响应文件格式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_Toc2708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r>
        <w:rPr>
          <w:rFonts w:hint="eastAsia" w:ascii="宋体" w:hAnsi="宋体" w:cs="宋体"/>
          <w:color w:val="000000" w:themeColor="text1"/>
          <w14:textFill>
            <w14:solidFill>
              <w14:schemeClr w14:val="tx1"/>
            </w14:solidFill>
          </w14:textFill>
        </w:rPr>
        <w:t>第六章  项目采购需求...............................................................85</w:t>
      </w:r>
      <w:r>
        <w:rPr>
          <w:rFonts w:hint="eastAsia" w:ascii="宋体" w:hAnsi="宋体" w:cs="宋体"/>
          <w:color w:val="000000" w:themeColor="text1"/>
          <w14:textFill>
            <w14:solidFill>
              <w14:schemeClr w14:val="tx1"/>
            </w14:solidFill>
          </w14:textFill>
        </w:rPr>
        <w:tab/>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p>
    <w:p>
      <w:pPr>
        <w:rPr>
          <w:rFonts w:ascii="宋体" w:hAnsi="宋体" w:cs="宋体"/>
          <w:b/>
          <w:color w:val="000000" w:themeColor="text1"/>
          <w:sz w:val="44"/>
          <w:szCs w:val="44"/>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pStyle w:val="2"/>
        <w:jc w:val="center"/>
        <w:rPr>
          <w:rFonts w:hint="default" w:cs="宋体"/>
          <w:color w:val="000000" w:themeColor="text1"/>
          <w:sz w:val="30"/>
          <w:szCs w:val="30"/>
          <w14:textFill>
            <w14:solidFill>
              <w14:schemeClr w14:val="tx1"/>
            </w14:solidFill>
          </w14:textFill>
        </w:rPr>
      </w:pPr>
      <w:bookmarkStart w:id="0" w:name="_Toc21309"/>
    </w:p>
    <w:p>
      <w:pPr>
        <w:pStyle w:val="2"/>
        <w:jc w:val="center"/>
        <w:rPr>
          <w:rFonts w:hint="default" w:cs="宋体"/>
          <w:color w:val="000000" w:themeColor="text1"/>
          <w:sz w:val="30"/>
          <w:szCs w:val="30"/>
          <w14:textFill>
            <w14:solidFill>
              <w14:schemeClr w14:val="tx1"/>
            </w14:solidFill>
          </w14:textFill>
        </w:rPr>
      </w:pPr>
      <w:r>
        <w:rPr>
          <w:rFonts w:cs="宋体"/>
          <w:color w:val="000000" w:themeColor="text1"/>
          <w:sz w:val="30"/>
          <w:szCs w:val="30"/>
          <w14:textFill>
            <w14:solidFill>
              <w14:schemeClr w14:val="tx1"/>
            </w14:solidFill>
          </w14:textFill>
        </w:rPr>
        <w:t>第一章  磋商邀请</w:t>
      </w:r>
      <w:bookmarkEnd w:id="0"/>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国家税务总局南宁市良庆区税务局2025年体检服务</w:t>
      </w:r>
      <w:r>
        <w:rPr>
          <w:rFonts w:hint="eastAsia" w:ascii="宋体" w:hAnsi="宋体" w:cs="宋体"/>
          <w:color w:val="000000" w:themeColor="text1"/>
          <w:szCs w:val="21"/>
          <w14:textFill>
            <w14:solidFill>
              <w14:schemeClr w14:val="tx1"/>
            </w14:solidFill>
          </w14:textFill>
        </w:rPr>
        <w:t>项目的潜在供应商应在</w:t>
      </w:r>
      <w:r>
        <w:rPr>
          <w:rFonts w:hint="eastAsia" w:ascii="宋体" w:hAnsi="宋体" w:cs="宋体"/>
          <w:color w:val="000000" w:themeColor="text1"/>
          <w:szCs w:val="21"/>
          <w:u w:val="single"/>
          <w14:textFill>
            <w14:solidFill>
              <w14:schemeClr w14:val="tx1"/>
            </w14:solidFill>
          </w14:textFill>
        </w:rPr>
        <w:t>广西众联工程项目管理有限公司（南宁市江南区白沙大道53号松宇时代14A层）</w:t>
      </w:r>
      <w:r>
        <w:rPr>
          <w:rFonts w:hint="eastAsia" w:ascii="宋体" w:hAnsi="宋体" w:cs="宋体"/>
          <w:color w:val="000000" w:themeColor="text1"/>
          <w:szCs w:val="21"/>
          <w14:textFill>
            <w14:solidFill>
              <w14:schemeClr w14:val="tx1"/>
            </w14:solidFill>
          </w14:textFill>
        </w:rPr>
        <w:t>获取磋商文件，并于</w:t>
      </w:r>
      <w:r>
        <w:rPr>
          <w:rFonts w:hint="eastAsia" w:ascii="宋体" w:hAnsi="宋体" w:cs="宋体"/>
          <w:color w:val="000000" w:themeColor="text1"/>
          <w:szCs w:val="21"/>
          <w:u w:val="single"/>
          <w14:textFill>
            <w14:solidFill>
              <w14:schemeClr w14:val="tx1"/>
            </w14:solidFill>
          </w14:textFill>
        </w:rPr>
        <w:t>2025</w:t>
      </w:r>
      <w:r>
        <w:rPr>
          <w:rFonts w:hint="eastAsia" w:ascii="宋体" w:hAnsi="宋体" w:cs="宋体"/>
          <w:bCs/>
          <w:color w:val="000000" w:themeColor="text1"/>
          <w:szCs w:val="21"/>
          <w:u w:val="single"/>
          <w14:textFill>
            <w14:solidFill>
              <w14:schemeClr w14:val="tx1"/>
            </w14:solidFill>
          </w14:textFill>
        </w:rPr>
        <w:t>年5月</w:t>
      </w:r>
      <w:r>
        <w:rPr>
          <w:rFonts w:hint="eastAsia" w:ascii="宋体" w:hAnsi="宋体" w:cs="宋体"/>
          <w:bCs/>
          <w:color w:val="000000" w:themeColor="text1"/>
          <w:szCs w:val="21"/>
          <w:u w:val="single"/>
          <w:lang w:val="en-US" w:eastAsia="zh-CN"/>
          <w14:textFill>
            <w14:solidFill>
              <w14:schemeClr w14:val="tx1"/>
            </w14:solidFill>
          </w14:textFill>
        </w:rPr>
        <w:t>30</w:t>
      </w:r>
      <w:r>
        <w:rPr>
          <w:rFonts w:hint="eastAsia" w:ascii="宋体" w:hAnsi="宋体" w:cs="宋体"/>
          <w:bCs/>
          <w:color w:val="000000" w:themeColor="text1"/>
          <w:szCs w:val="21"/>
          <w:u w:val="single"/>
          <w14:textFill>
            <w14:solidFill>
              <w14:schemeClr w14:val="tx1"/>
            </w14:solidFill>
          </w14:textFill>
        </w:rPr>
        <w:t>日09时30分</w:t>
      </w:r>
      <w:r>
        <w:rPr>
          <w:rFonts w:hint="eastAsia" w:ascii="宋体" w:hAnsi="宋体" w:cs="宋体"/>
          <w:bCs/>
          <w:color w:val="000000" w:themeColor="text1"/>
          <w:szCs w:val="21"/>
          <w14:textFill>
            <w14:solidFill>
              <w14:schemeClr w14:val="tx1"/>
            </w14:solidFill>
          </w14:textFill>
        </w:rPr>
        <w:t>（北京时间）前提交响应文件</w:t>
      </w:r>
      <w:r>
        <w:rPr>
          <w:rFonts w:hint="eastAsia" w:ascii="宋体" w:hAnsi="宋体" w:cs="宋体"/>
          <w:color w:val="000000" w:themeColor="text1"/>
          <w:szCs w:val="21"/>
          <w14:textFill>
            <w14:solidFill>
              <w14:schemeClr w14:val="tx1"/>
            </w14:solidFill>
          </w14:textFill>
        </w:rPr>
        <w:t>。</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一、项目基本情况</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项目编号：ZB2025-160</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项目名称：国家税务总局南宁市良庆区税务局2025年体检服务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采购方式：磋商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Theme="minorEastAsia" w:hAnsiTheme="minorEastAsia" w:eastAsiaTheme="minorEastAsia" w:cstheme="minorEastAsia"/>
          <w:color w:val="000000" w:themeColor="text1"/>
          <w:szCs w:val="21"/>
          <w14:textFill>
            <w14:solidFill>
              <w14:schemeClr w14:val="tx1"/>
            </w14:solidFill>
          </w14:textFill>
        </w:rPr>
        <w:t>44.5万元</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最高限价（如有）：</w:t>
      </w:r>
      <w:r>
        <w:rPr>
          <w:rFonts w:hint="eastAsia" w:asciiTheme="minorEastAsia" w:hAnsiTheme="minorEastAsia" w:eastAsiaTheme="minorEastAsia" w:cstheme="minorEastAsia"/>
          <w:color w:val="000000" w:themeColor="text1"/>
          <w:szCs w:val="21"/>
          <w14:textFill>
            <w14:solidFill>
              <w14:schemeClr w14:val="tx1"/>
            </w14:solidFill>
          </w14:textFill>
        </w:rPr>
        <w:t>44.5万元</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采购需求：国家税务总局南宁市良庆区税务局2025年体检服务1项。如需进一步了解详细内容，详见本项目磋商文件。</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合同履行期限：自签订合同之日起至2025年12月31日止，服务期内须完成采购人在职职工及退休人员的体检服务（以实际体检人员数量为准）</w:t>
      </w:r>
      <w:r>
        <w:rPr>
          <w:rFonts w:hint="eastAsia" w:ascii="宋体" w:hAnsi="宋体" w:cs="宋体"/>
          <w:color w:val="000000" w:themeColor="text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本项目属于目录外标准下项目。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二、申请人的资格要求：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1.本项目由符合国家有关法律法规规定、同时满足本项目资质要求、在中国境内的供应商参加磋商。</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非专门面向中小企业采购项目，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本项目采购标的对应的中小企业划分标准所属行业为其他未列明行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4.本项目的特定资格要求：供应商具有有效的行政主管部门颁发《医疗机构执业许可证》和《放射诊疗许可证》。</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在“信用中国”网站〈www.creditchina.gov.cn〉、中国政府采购网〈www.ccgp.gov.cn〉等渠道被列入失信被执行人、重大税收违法失信主体、政府采购严重违法失信行为记录名单及其他不符合《中华人民共和国政府采购法》第二十二条规定条件的供应商，不得参与本项目采购活动。</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6.单位负责人为同一人或者存在直接控股、管理关系的不同供应商，不得参加同一合同项下的采购活动。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7.为本项目提供整体设计、规范编制或者项目管理、监理、检测等服务的供应商，不得再参加本次采购活动。</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三、获取磋商文件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19</w:t>
      </w:r>
      <w:r>
        <w:rPr>
          <w:rFonts w:hint="eastAsia" w:ascii="宋体" w:hAnsi="宋体" w:cs="宋体"/>
          <w:color w:val="000000" w:themeColor="text1"/>
          <w:szCs w:val="21"/>
          <w:u w:val="single"/>
          <w14:textFill>
            <w14:solidFill>
              <w14:schemeClr w14:val="tx1"/>
            </w14:solidFill>
          </w14:textFill>
        </w:rPr>
        <w:t>日公告发布之时起至2025年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26</w:t>
      </w:r>
      <w:r>
        <w:rPr>
          <w:rFonts w:hint="eastAsia" w:ascii="宋体" w:hAnsi="宋体" w:cs="宋体"/>
          <w:color w:val="000000" w:themeColor="text1"/>
          <w:szCs w:val="21"/>
          <w:u w:val="single"/>
          <w14:textFill>
            <w14:solidFill>
              <w14:schemeClr w14:val="tx1"/>
            </w14:solidFill>
          </w14:textFill>
        </w:rPr>
        <w:t>日止</w:t>
      </w:r>
      <w:r>
        <w:rPr>
          <w:rFonts w:hint="eastAsia" w:ascii="宋体" w:hAnsi="宋体" w:cs="宋体"/>
          <w:color w:val="000000" w:themeColor="text1"/>
          <w:szCs w:val="21"/>
          <w14:textFill>
            <w14:solidFill>
              <w14:schemeClr w14:val="tx1"/>
            </w14:solidFill>
          </w14:textFill>
        </w:rPr>
        <w:t>，工作日每天上午8时30分至12时00分，下午14时30分至17时30分（北京时间，法定节假日除外）。</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地点：广西众联工程项目管理有限公司财务部（南宁市江南区白沙大道53号松宇时代14A层）。</w:t>
      </w:r>
    </w:p>
    <w:p>
      <w:pPr>
        <w:spacing w:line="360" w:lineRule="auto"/>
        <w:ind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供应商需于磋商文件获取时间内将文件工本费（只接受公对公转账，不接受私人账号转账，并备注项目编号）转账底单（并附上项目名称、项目编号、收件人姓名、联系电话、收件地址、开票信息）扫描发邮件至258838465@qq.com邮箱，代理机构查收后当日向供应商发送获取文件登记表及电子版磋商文件并办理纸质版磋商文件邮寄事宜</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（供应商未提供联系方式，由此造成供应商无法按时获取纸质版磋商文件的，责任由供应商承担）。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收款人户名：广西众联工程项目管理有限公司</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开户银行：中国光大银行股份有限公司南宁民主支行</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银行账号：78900188000167866</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售价：¥300.00元，本公告包含的磋商文件售价总和。</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四、响应文件提交</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截止时间：2025年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日09时30分（北京时间）</w:t>
      </w:r>
    </w:p>
    <w:p>
      <w:pPr>
        <w:spacing w:line="500" w:lineRule="exact"/>
        <w:ind w:firstLine="420" w:firstLineChars="200"/>
        <w:rPr>
          <w:rFonts w:ascii="宋体" w:hAnsi="宋体" w:cs="宋体" w:eastAsiaTheme="minorEastAsia"/>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14:textFill>
            <w14:solidFill>
              <w14:schemeClr w14:val="tx1"/>
            </w14:solidFill>
          </w14:textFill>
        </w:rPr>
        <w:t>广西众联工程项目管理有限公司开标厅（南宁市江南区白沙大道53号松宇时代14层），逾期送达的将予以拒收。</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五、开启</w:t>
      </w:r>
    </w:p>
    <w:p>
      <w:pPr>
        <w:spacing w:line="360" w:lineRule="auto"/>
        <w:ind w:firstLine="420" w:firstLineChars="200"/>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时间：2025年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日09时30分（北京时间）</w:t>
      </w:r>
    </w:p>
    <w:p>
      <w:pPr>
        <w:spacing w:line="360" w:lineRule="auto"/>
        <w:ind w:firstLine="420" w:firstLineChars="200"/>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14:textFill>
            <w14:solidFill>
              <w14:schemeClr w14:val="tx1"/>
            </w14:solidFill>
          </w14:textFill>
        </w:rPr>
        <w:t>广西众联工程项目管理有限公司开标厅（南宁市江南区白沙大道53号松宇时代14层）</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六、公告期限</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七、其他补充事宜</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1、磋商时间及地点：于2025年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日09时30分截标后为磋商小组与供应商磋商时间，具体时间由采购代理机构另行通知。地点：广西众联工程项目管理有限公司评标室（以具体通知为准），参加磋商的法定代表人（负责人） 或委托代理人必须持有效证件[法定代表人（负责人）凭身份证或委托代理人凭法人授权委托书原件和身份证]依时达到指定地点等候当面磋商。</w:t>
      </w:r>
    </w:p>
    <w:p>
      <w:pP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2、公告媒体：国家税务总局广西壮族自治区税务局南宁市频道（http://guangxi.chinatax.gov.cn/nanning/）、广西众联工程项目管理有限公司网站（http://www.gxzhonglian.cn/default.aspx）。</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八、凡对本次采购提出询问，请按以下方式联系。</w:t>
      </w:r>
    </w:p>
    <w:p>
      <w:pPr>
        <w:keepNext/>
        <w:keepLines/>
        <w:spacing w:line="400" w:lineRule="exact"/>
        <w:ind w:firstLine="424" w:firstLineChars="202"/>
        <w:outlineLvl w:val="1"/>
        <w:rPr>
          <w:rFonts w:ascii="宋体" w:hAnsi="宋体" w:cs="宋体"/>
          <w:bCs/>
          <w:color w:val="000000" w:themeColor="text1"/>
          <w:szCs w:val="21"/>
          <w14:textFill>
            <w14:solidFill>
              <w14:schemeClr w14:val="tx1"/>
            </w14:solidFill>
          </w14:textFill>
        </w:rPr>
      </w:pPr>
      <w:bookmarkStart w:id="1" w:name="_Toc28359096"/>
      <w:bookmarkStart w:id="2" w:name="_Toc46761415"/>
      <w:bookmarkStart w:id="3" w:name="_Toc9219"/>
      <w:bookmarkStart w:id="4" w:name="_Toc35393637"/>
      <w:bookmarkStart w:id="5" w:name="_Toc28359019"/>
      <w:bookmarkStart w:id="6" w:name="_Toc35393806"/>
      <w:bookmarkStart w:id="7" w:name="_Toc15710"/>
      <w:r>
        <w:rPr>
          <w:rFonts w:hint="eastAsia" w:ascii="宋体" w:hAnsi="宋体" w:cs="宋体"/>
          <w:bCs/>
          <w:color w:val="000000" w:themeColor="text1"/>
          <w:szCs w:val="21"/>
          <w14:textFill>
            <w14:solidFill>
              <w14:schemeClr w14:val="tx1"/>
            </w14:solidFill>
          </w14:textFill>
        </w:rPr>
        <w:t>1、采购人信息</w:t>
      </w:r>
      <w:bookmarkEnd w:id="1"/>
      <w:bookmarkEnd w:id="2"/>
      <w:bookmarkEnd w:id="3"/>
      <w:bookmarkEnd w:id="4"/>
      <w:bookmarkEnd w:id="5"/>
      <w:bookmarkEnd w:id="6"/>
      <w:bookmarkEnd w:id="7"/>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称：国家税务总局南宁市良庆区税务局</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olor w:val="000000" w:themeColor="text1"/>
          <w:szCs w:val="21"/>
          <w14:textFill>
            <w14:solidFill>
              <w14:schemeClr w14:val="tx1"/>
            </w14:solidFill>
          </w14:textFill>
        </w:rPr>
        <w:t>南宁市良庆区玉洞大道33号南宁市民中心D座8楼823房</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联系方式：曾祥宁，0771-4509980</w:t>
      </w:r>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8" w:name="_Toc46761417"/>
      <w:bookmarkStart w:id="9" w:name="_Toc28359097"/>
      <w:bookmarkStart w:id="10" w:name="_Toc28359020"/>
      <w:bookmarkStart w:id="11" w:name="_Toc35393638"/>
      <w:bookmarkStart w:id="12" w:name="_Toc35393807"/>
      <w:bookmarkStart w:id="13" w:name="_Toc24805"/>
      <w:r>
        <w:rPr>
          <w:rFonts w:hint="eastAsia" w:ascii="宋体" w:hAnsi="宋体" w:cs="宋体"/>
          <w:bCs/>
          <w:color w:val="000000" w:themeColor="text1"/>
          <w:szCs w:val="21"/>
          <w14:textFill>
            <w14:solidFill>
              <w14:schemeClr w14:val="tx1"/>
            </w14:solidFill>
          </w14:textFill>
        </w:rPr>
        <w:t>2、采购代</w:t>
      </w:r>
      <w:r>
        <w:rPr>
          <w:rFonts w:hint="eastAsia" w:ascii="宋体" w:hAnsi="宋体" w:cs="宋体"/>
          <w:color w:val="000000" w:themeColor="text1"/>
          <w:szCs w:val="21"/>
          <w14:textFill>
            <w14:solidFill>
              <w14:schemeClr w14:val="tx1"/>
            </w14:solidFill>
          </w14:textFill>
        </w:rPr>
        <w:t>理机构信息</w:t>
      </w:r>
      <w:bookmarkEnd w:id="8"/>
      <w:bookmarkEnd w:id="9"/>
      <w:bookmarkEnd w:id="10"/>
      <w:bookmarkEnd w:id="11"/>
      <w:bookmarkEnd w:id="12"/>
      <w:bookmarkEnd w:id="13"/>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称：广西众联工程项目管理有限公司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址：南宁市江南区白沙大道53号松宇时代14A层</w:t>
      </w:r>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14" w:name="_Toc13075"/>
      <w:bookmarkStart w:id="15" w:name="_Toc46761418"/>
      <w:bookmarkStart w:id="16" w:name="_Toc28359098"/>
      <w:bookmarkStart w:id="17" w:name="_Toc35393808"/>
      <w:bookmarkStart w:id="18" w:name="_Toc35393639"/>
      <w:bookmarkStart w:id="19" w:name="_Toc28359021"/>
      <w:r>
        <w:rPr>
          <w:rFonts w:hint="eastAsia" w:ascii="宋体" w:hAnsi="宋体" w:cs="宋体"/>
          <w:color w:val="000000" w:themeColor="text1"/>
          <w:szCs w:val="21"/>
          <w14:textFill>
            <w14:solidFill>
              <w14:schemeClr w14:val="tx1"/>
            </w14:solidFill>
          </w14:textFill>
        </w:rPr>
        <w:t>联系方式：李柳婵、戚程、包鹏、易翠兰，0771-4308370</w:t>
      </w:r>
      <w:bookmarkEnd w:id="14"/>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0771-4308713</w:t>
      </w:r>
    </w:p>
    <w:p>
      <w:pPr>
        <w:spacing w:line="400" w:lineRule="exact"/>
        <w:ind w:firstLine="420" w:firstLineChars="200"/>
        <w:rPr>
          <w:rFonts w:ascii="宋体" w:hAnsi="宋体" w:cs="宋体"/>
          <w:color w:val="000000" w:themeColor="text1"/>
          <w:szCs w:val="21"/>
          <w14:textFill>
            <w14:solidFill>
              <w14:schemeClr w14:val="tx1"/>
            </w14:solidFill>
          </w14:textFill>
        </w:rPr>
      </w:pPr>
      <w:bookmarkStart w:id="20" w:name="_Toc20517"/>
      <w:r>
        <w:rPr>
          <w:rFonts w:hint="eastAsia" w:ascii="宋体" w:hAnsi="宋体" w:cs="宋体"/>
          <w:color w:val="000000" w:themeColor="text1"/>
          <w:szCs w:val="21"/>
          <w14:textFill>
            <w14:solidFill>
              <w14:schemeClr w14:val="tx1"/>
            </w14:solidFill>
          </w14:textFill>
        </w:rPr>
        <w:t>3、项目联系方式</w:t>
      </w:r>
      <w:bookmarkEnd w:id="15"/>
      <w:bookmarkEnd w:id="16"/>
      <w:bookmarkEnd w:id="17"/>
      <w:bookmarkEnd w:id="18"/>
      <w:bookmarkEnd w:id="19"/>
      <w:bookmarkEnd w:id="20"/>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项目联系人：李柳婵、戚程、包鹏、易翠兰</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电话：0771-4308370、</w:t>
      </w:r>
      <w:r>
        <w:rPr>
          <w:rFonts w:hint="eastAsia" w:ascii="宋体" w:hAnsi="宋体" w:cs="宋体"/>
          <w:szCs w:val="21"/>
        </w:rPr>
        <w:t>0771-4308713</w:t>
      </w:r>
    </w:p>
    <w:p>
      <w:pPr>
        <w:spacing w:line="400" w:lineRule="exact"/>
        <w:ind w:firstLine="420" w:firstLineChars="200"/>
        <w:rPr>
          <w:rFonts w:ascii="宋体" w:hAnsi="宋体" w:cs="宋体"/>
          <w:color w:val="000000" w:themeColor="text1"/>
          <w:szCs w:val="21"/>
          <w14:textFill>
            <w14:solidFill>
              <w14:schemeClr w14:val="tx1"/>
            </w14:solidFill>
          </w14:textFill>
        </w:rPr>
        <w:sectPr>
          <w:footerReference r:id="rId5" w:type="first"/>
          <w:footerReference r:id="rId4" w:type="default"/>
          <w:pgSz w:w="11906" w:h="16838"/>
          <w:pgMar w:top="1440" w:right="1417" w:bottom="1440" w:left="1417" w:header="851" w:footer="992" w:gutter="0"/>
          <w:cols w:space="720" w:num="1"/>
          <w:titlePg/>
          <w:docGrid w:type="lines" w:linePitch="312" w:charSpace="0"/>
        </w:sectPr>
      </w:pPr>
    </w:p>
    <w:p>
      <w:pPr>
        <w:pStyle w:val="2"/>
        <w:jc w:val="center"/>
        <w:rPr>
          <w:rFonts w:hint="default" w:cs="宋体"/>
          <w:color w:val="000000" w:themeColor="text1"/>
          <w:sz w:val="30"/>
          <w:szCs w:val="30"/>
          <w14:textFill>
            <w14:solidFill>
              <w14:schemeClr w14:val="tx1"/>
            </w14:solidFill>
          </w14:textFill>
        </w:rPr>
      </w:pPr>
      <w:bookmarkStart w:id="21" w:name="_Toc6063"/>
      <w:r>
        <w:rPr>
          <w:rFonts w:cs="宋体"/>
          <w:color w:val="000000" w:themeColor="text1"/>
          <w:sz w:val="30"/>
          <w:szCs w:val="30"/>
          <w14:textFill>
            <w14:solidFill>
              <w14:schemeClr w14:val="tx1"/>
            </w14:solidFill>
          </w14:textFill>
        </w:rPr>
        <w:t>第二章　供应商须知</w:t>
      </w:r>
      <w:bookmarkEnd w:id="21"/>
    </w:p>
    <w:p>
      <w:pPr>
        <w:pStyle w:val="3"/>
        <w:jc w:val="center"/>
        <w:rPr>
          <w:rFonts w:ascii="宋体" w:hAnsi="宋体" w:eastAsia="宋体" w:cs="宋体"/>
          <w:color w:val="000000" w:themeColor="text1"/>
          <w:sz w:val="28"/>
          <w:szCs w:val="28"/>
          <w14:textFill>
            <w14:solidFill>
              <w14:schemeClr w14:val="tx1"/>
            </w14:solidFill>
          </w14:textFill>
        </w:rPr>
      </w:pPr>
      <w:bookmarkStart w:id="22" w:name="_Toc32100"/>
      <w:r>
        <w:rPr>
          <w:rFonts w:hint="eastAsia" w:ascii="宋体" w:hAnsi="宋体" w:eastAsia="宋体" w:cs="宋体"/>
          <w:color w:val="000000" w:themeColor="text1"/>
          <w:sz w:val="28"/>
          <w:szCs w:val="28"/>
          <w14:textFill>
            <w14:solidFill>
              <w14:schemeClr w14:val="tx1"/>
            </w14:solidFill>
          </w14:textFill>
        </w:rPr>
        <w:t>供应商须知前附表</w:t>
      </w:r>
      <w:bookmarkEnd w:id="22"/>
    </w:p>
    <w:tbl>
      <w:tblPr>
        <w:tblStyle w:val="1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9"/>
        <w:gridCol w:w="976"/>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 号</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类  别</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85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项目名称、编号、预算及最高限价</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项目名称：国家税务总局南宁市良庆区税务局2025年体检服务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项目编号：ZB2025-160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项目预算：44.5万元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详见《磋商文件（技术部分）》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项目属性、类别等</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项目属性：</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货物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 xml:space="preserve">服务         </w:t>
            </w: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工程</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项目类别：</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信息化项目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非信息化项目</w:t>
            </w:r>
          </w:p>
          <w:p>
            <w:pPr>
              <w:pStyle w:val="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本项目属于</w:t>
            </w:r>
            <w:r>
              <w:rPr>
                <w:rFonts w:hint="eastAsia" w:ascii="宋体" w:hAnsi="宋体" w:cs="宋体"/>
                <w:color w:val="000000" w:themeColor="text1"/>
                <w:szCs w:val="21"/>
                <w14:textFill>
                  <w14:solidFill>
                    <w14:schemeClr w14:val="tx1"/>
                  </w14:solidFill>
                </w14:textFill>
              </w:rPr>
              <w:t>目录外标准下项目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名称：国家税务总局南宁市良庆区税务局</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地址：南宁市良庆区玉洞大道33号南宁市民中心D座8楼823房</w:t>
            </w:r>
          </w:p>
          <w:p>
            <w:pPr>
              <w:adjustRightInd w:val="0"/>
              <w:snapToGrid w:val="0"/>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w:t>
            </w:r>
            <w:r>
              <w:rPr>
                <w:rFonts w:hint="eastAsia" w:ascii="宋体" w:hAnsi="宋体" w:cs="宋体"/>
                <w:bCs/>
                <w:color w:val="000000" w:themeColor="text1"/>
                <w:szCs w:val="21"/>
                <w14:textFill>
                  <w14:solidFill>
                    <w14:schemeClr w14:val="tx1"/>
                  </w14:solidFill>
                </w14:textFill>
              </w:rPr>
              <w:t>电话：</w:t>
            </w:r>
            <w:r>
              <w:rPr>
                <w:rFonts w:hint="eastAsia" w:ascii="宋体" w:hAnsi="宋体" w:cs="宋体"/>
                <w:color w:val="000000" w:themeColor="text1"/>
                <w14:textFill>
                  <w14:solidFill>
                    <w14:schemeClr w14:val="tx1"/>
                  </w14:solidFill>
                </w14:textFill>
              </w:rPr>
              <w:t xml:space="preserve"> 0771-4509980</w:t>
            </w:r>
          </w:p>
          <w:p>
            <w:pPr>
              <w:adjustRightInd w:val="0"/>
              <w:snapToGrid w:val="0"/>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联系方式：曾祥宁</w:t>
            </w:r>
            <w:r>
              <w:rPr>
                <w:rFonts w:hint="eastAsia" w:ascii="宋体" w:hAnsi="宋体" w:cs="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名称：广西众联工程项目管理有限公司</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地址：南宁市江南区白沙大道53号松宇时代14A层</w:t>
            </w:r>
          </w:p>
          <w:p>
            <w:pPr>
              <w:adjustRightInd w:val="0"/>
              <w:snapToGrid w:val="0"/>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w:t>
            </w:r>
            <w:r>
              <w:rPr>
                <w:rFonts w:hint="eastAsia" w:ascii="宋体" w:hAnsi="宋体" w:cs="宋体"/>
                <w:bCs/>
                <w:color w:val="000000" w:themeColor="text1"/>
                <w:szCs w:val="21"/>
                <w14:textFill>
                  <w14:solidFill>
                    <w14:schemeClr w14:val="tx1"/>
                  </w14:solidFill>
                </w14:textFill>
              </w:rPr>
              <w:t>电话：</w:t>
            </w:r>
            <w:r>
              <w:rPr>
                <w:rFonts w:hint="eastAsia" w:ascii="宋体" w:hAnsi="宋体" w:cs="宋体"/>
                <w:color w:val="000000" w:themeColor="text1"/>
                <w:szCs w:val="21"/>
                <w14:textFill>
                  <w14:solidFill>
                    <w14:schemeClr w14:val="tx1"/>
                  </w14:solidFill>
                </w14:textFill>
              </w:rPr>
              <w:t>0771-4308370、</w:t>
            </w:r>
            <w:r>
              <w:rPr>
                <w:rFonts w:hint="eastAsia" w:ascii="宋体" w:hAnsi="宋体" w:cs="宋体"/>
                <w:szCs w:val="21"/>
              </w:rPr>
              <w:t>0771-4308713</w:t>
            </w:r>
          </w:p>
          <w:p>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联系方式：李柳婵、戚程、包鹏、易翠兰</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邮箱：258838465@qq.com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供应商产生方法</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公告</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供应商库抽取</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符合要求供应商家数</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是否允许符合要求的供应商只有2家时可以继续进行采购活动：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□否 </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供应商资格要求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1.本项目由符合国家有关法律法规规定、同时满足本项目资质要求、在中国境内的供应商参加磋商。</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widowControl/>
              <w:numPr>
                <w:ilvl w:val="255"/>
                <w:numId w:val="0"/>
              </w:num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非专门面向中小企业采购项目，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本项目采购标的对应的中小企业划分标准所属行业为其他未列明行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4.本项目的特定资格要求：无。</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在“信用中国”网站〈www.creditchina.gov.cn〉、中国政府采购网〈www.ccgp.gov.cn〉等渠道被列入失信被执行人、重大税收违法失信主体、政府采购严重违法失信行为记录名单及其他不符合《中华人民共和国政府采购法》第二十二条规定条件的供应商，不得参与本项目采购活动。</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6.单位负责人为同一人或者存在直接控股、管理关系的不同供应商，不得参加同一合同项下的采购活动。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7.为本项目提供整体设计、规范编制或者项目管理、监理、检测等服务的供应商，不得再参加本次采购活动。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是否接受联合体磋商</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不接受</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接受（接受联合体且供应商为联合体的，供应商应提供联合体协议；否则无须提供）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采购标的对应的中小企业划分标准所属行业</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8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非主体、非关键性工作分包</w:t>
            </w:r>
          </w:p>
        </w:tc>
        <w:tc>
          <w:tcPr>
            <w:tcW w:w="6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是否允许供应商将本项目的非主体、非关键性工作进行分包：</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☑不允许</w:t>
            </w:r>
          </w:p>
          <w:p>
            <w:pPr>
              <w:adjustRightInd w:val="0"/>
              <w:snapToGrid w:val="0"/>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r>
              <w:rPr>
                <w:rFonts w:hint="eastAsia" w:ascii="宋体" w:hAnsi="宋体" w:cs="宋体"/>
                <w:i/>
                <w:color w:val="000000" w:themeColor="text1"/>
                <w:szCs w:val="21"/>
                <w:u w:val="single"/>
                <w14:textFill>
                  <w14:solidFill>
                    <w14:schemeClr w14:val="tx1"/>
                  </w14:solidFill>
                </w14:textFill>
              </w:rPr>
              <w:t>（写明可以分包履行的具体内容、金额或者比例）</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采购包2：</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85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核心产品</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货物类项目填写此栏</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无</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有</w:t>
            </w:r>
          </w:p>
          <w:p>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产品名称：</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cs="宋体"/>
                <w:b/>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的方式</w:t>
            </w:r>
            <w:r>
              <w:rPr>
                <w:rFonts w:hint="eastAsia" w:ascii="宋体" w:hAnsi="宋体" w:cs="宋体"/>
                <w:b/>
                <w:bCs/>
                <w:color w:val="000000" w:themeColor="text1"/>
                <w:szCs w:val="21"/>
                <w14:textFill>
                  <w14:solidFill>
                    <w14:schemeClr w14:val="tx1"/>
                  </w14:solidFill>
                </w14:textFill>
              </w:rPr>
              <w:t>确定一个供应商获得成交供应商推荐资格，磋商文件未规定的采取随机抽取方式确定，其他同品牌供应商不作为成交候选人。</w:t>
            </w:r>
          </w:p>
          <w:p>
            <w:pPr>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单个采购包按以上条款计算的供应商家数不足规定家数的，则该采购包的采购活动结束。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85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采购进口产品</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本采购项目拒绝进口产品参加磋商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□本采购项目已经财政部审核同意购买进口产品</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u w:val="single"/>
                <w14:textFill>
                  <w14:solidFill>
                    <w14:schemeClr w14:val="tx1"/>
                  </w14:solidFill>
                </w14:textFill>
              </w:rPr>
              <w:t>本项目属于服务类项目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859" w:type="dxa"/>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信息发布媒体</w:t>
            </w:r>
          </w:p>
        </w:tc>
        <w:tc>
          <w:tcPr>
            <w:tcW w:w="6183" w:type="dxa"/>
            <w:gridSpan w:val="2"/>
            <w:vAlign w:val="center"/>
          </w:tcPr>
          <w:p>
            <w:pPr>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（1）国家税务总局广西壮族自治区税务局南宁市频道（http://guangxi.chinatax.gov.cn/nanning/）</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广西众联工程项目管理有限公司网站（http://www.gxzhonglian.cn/default.aspx）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获取磋商文件</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时间、地点和</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方式等</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19</w:t>
            </w:r>
            <w:r>
              <w:rPr>
                <w:rFonts w:hint="eastAsia" w:ascii="宋体" w:hAnsi="宋体" w:cs="宋体"/>
                <w:color w:val="000000" w:themeColor="text1"/>
                <w:szCs w:val="21"/>
                <w:u w:val="single"/>
                <w14:textFill>
                  <w14:solidFill>
                    <w14:schemeClr w14:val="tx1"/>
                  </w14:solidFill>
                </w14:textFill>
              </w:rPr>
              <w:t>日公告发布之时起至2025年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26</w:t>
            </w:r>
            <w:r>
              <w:rPr>
                <w:rFonts w:hint="eastAsia" w:ascii="宋体" w:hAnsi="宋体" w:cs="宋体"/>
                <w:color w:val="000000" w:themeColor="text1"/>
                <w:szCs w:val="21"/>
                <w:u w:val="single"/>
                <w14:textFill>
                  <w14:solidFill>
                    <w14:schemeClr w14:val="tx1"/>
                  </w14:solidFill>
                </w14:textFill>
              </w:rPr>
              <w:t>日止，</w:t>
            </w:r>
            <w:r>
              <w:rPr>
                <w:rFonts w:hint="eastAsia" w:ascii="宋体" w:hAnsi="宋体" w:cs="宋体"/>
                <w:color w:val="000000" w:themeColor="text1"/>
                <w:szCs w:val="21"/>
                <w14:textFill>
                  <w14:solidFill>
                    <w14:schemeClr w14:val="tx1"/>
                  </w14:solidFill>
                </w14:textFill>
              </w:rPr>
              <w:t>工作日每天上午8时30分至12时00分，下午14时30分至17时30分（北京时间，法定节假日除外）。</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地点：广西众联工程项目管理有限公司财务部（南宁市江南区白沙大道53号松宇时代14A层）。</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供应商需于磋商文件获取时间内将文件工本费（只接受公对公转账，不接受私人账号转账，并备注项目编号）转账底单（并附上项目名称、项目编号、收件人姓名、联系电话、收件地址、开票信息）扫描发邮件至258838465@qq.com邮箱，代理机构查收后当日向供应商发送获取文件登记表及电子版磋商文件并办理纸质版磋商文件邮寄事宜</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（供应商未提供联系方式，由此造成供应商无法按时获取纸质版磋商文件的，责任由供应商承担）。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收款人户名：广西众联工程项目管理有限公司</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开户银行：中国光大银行股份有限公司南宁民主支行</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现场考察</w:t>
            </w:r>
          </w:p>
        </w:tc>
        <w:tc>
          <w:tcPr>
            <w:tcW w:w="6183" w:type="dxa"/>
            <w:gridSpan w:val="2"/>
            <w:vAlign w:val="center"/>
          </w:tcPr>
          <w:p>
            <w:pPr>
              <w:tabs>
                <w:tab w:val="left" w:pos="0"/>
                <w:tab w:val="left" w:pos="4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不组织现场考察</w:t>
            </w:r>
          </w:p>
          <w:p>
            <w:pPr>
              <w:tabs>
                <w:tab w:val="left" w:pos="0"/>
                <w:tab w:val="left" w:pos="420"/>
              </w:tabs>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bCs/>
                <w:color w:val="000000" w:themeColor="text1"/>
                <w:szCs w:val="21"/>
                <w14:textFill>
                  <w14:solidFill>
                    <w14:schemeClr w14:val="tx1"/>
                  </w14:solidFill>
                </w14:textFill>
              </w:rPr>
              <w:t>组织现场考察：</w:t>
            </w:r>
          </w:p>
          <w:p>
            <w:pPr>
              <w:tabs>
                <w:tab w:val="left" w:pos="0"/>
                <w:tab w:val="left" w:pos="420"/>
              </w:tabs>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（北京时间）</w:t>
            </w:r>
          </w:p>
          <w:p>
            <w:pPr>
              <w:tabs>
                <w:tab w:val="left" w:pos="0"/>
                <w:tab w:val="left" w:pos="420"/>
              </w:tabs>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r>
              <w:rPr>
                <w:rFonts w:hint="eastAsia" w:ascii="宋体" w:hAnsi="宋体" w:cs="宋体"/>
                <w:b/>
                <w:color w:val="000000" w:themeColor="text1"/>
                <w:szCs w:val="21"/>
                <w:u w:val="single"/>
                <w14:textFill>
                  <w14:solidFill>
                    <w14:schemeClr w14:val="tx1"/>
                  </w14:solidFill>
                </w14:textFill>
              </w:rPr>
              <w:t xml:space="preserve">                 </w:t>
            </w:r>
          </w:p>
          <w:p>
            <w:pPr>
              <w:tabs>
                <w:tab w:val="left" w:pos="0"/>
                <w:tab w:val="left" w:pos="420"/>
              </w:tabs>
              <w:adjustRightInd w:val="0"/>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联系人：</w:t>
            </w:r>
            <w:r>
              <w:rPr>
                <w:rFonts w:hint="eastAsia" w:ascii="宋体" w:hAnsi="宋体" w:cs="宋体"/>
                <w:b/>
                <w:color w:val="000000" w:themeColor="text1"/>
                <w:szCs w:val="21"/>
                <w:u w:val="single"/>
                <w14:textFill>
                  <w14:solidFill>
                    <w14:schemeClr w14:val="tx1"/>
                  </w14:solidFill>
                </w14:textFill>
              </w:rPr>
              <w:t xml:space="preserve">               </w:t>
            </w:r>
          </w:p>
          <w:p>
            <w:pPr>
              <w:tabs>
                <w:tab w:val="left" w:pos="0"/>
                <w:tab w:val="left" w:pos="420"/>
              </w:tabs>
              <w:adjustRightInd w:val="0"/>
              <w:snapToGrid w:val="0"/>
              <w:spacing w:line="360" w:lineRule="auto"/>
              <w:rPr>
                <w:rFonts w:ascii="宋体" w:hAnsi="宋体" w:cs="宋体"/>
                <w:bCs/>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xml:space="preserve">             </w:t>
            </w:r>
          </w:p>
          <w:p>
            <w:pPr>
              <w:tabs>
                <w:tab w:val="left" w:pos="0"/>
                <w:tab w:val="left" w:pos="42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不要求提供</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bCs/>
                <w:color w:val="000000" w:themeColor="text1"/>
                <w:szCs w:val="21"/>
                <w14:textFill>
                  <w14:solidFill>
                    <w14:schemeClr w14:val="tx1"/>
                  </w14:solidFill>
                </w14:textFill>
              </w:rPr>
              <w:t>要求提供：</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1.样品制作的标准和要求：____________________</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2.样品检测报告：（□否；□是，检测机构的要求、检测内容详见第六章项目采购需求）</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859" w:type="dxa"/>
            <w:vMerge w:val="restart"/>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响应文件组成</w:t>
            </w:r>
          </w:p>
        </w:tc>
        <w:tc>
          <w:tcPr>
            <w:tcW w:w="976" w:type="dxa"/>
            <w:vMerge w:val="restart"/>
            <w:vAlign w:val="center"/>
          </w:tcPr>
          <w:p>
            <w:pPr>
              <w:topLinePunct/>
              <w:autoSpaceDE w:val="0"/>
              <w:autoSpaceDN w:val="0"/>
              <w:adjustRightInd w:val="0"/>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w:t>
            </w:r>
            <w:r>
              <w:rPr>
                <w:rFonts w:hint="eastAsia" w:ascii="宋体" w:hAnsi="宋体" w:cs="宋体"/>
                <w:bCs/>
                <w:color w:val="000000" w:themeColor="text1"/>
                <w:szCs w:val="21"/>
                <w14:textFill>
                  <w14:solidFill>
                    <w14:schemeClr w14:val="tx1"/>
                  </w14:solidFill>
                </w14:textFill>
              </w:rPr>
              <w:t>分</w:t>
            </w:r>
          </w:p>
        </w:tc>
        <w:tc>
          <w:tcPr>
            <w:tcW w:w="5207" w:type="dxa"/>
            <w:vAlign w:val="center"/>
          </w:tcPr>
          <w:p>
            <w:pPr>
              <w:widowControl/>
              <w:tabs>
                <w:tab w:val="left" w:pos="0"/>
                <w:tab w:val="left" w:pos="4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一、资格证明文件：</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1.★供应商基本情况（供应商属于法人或者其他组织的，提供营业执照等证明文件；供应商属于自然人的，提供身份证复印件）；</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2.★财务状况报告：</w:t>
            </w:r>
            <w:r>
              <w:rPr>
                <w:rFonts w:hint="eastAsia" w:ascii="宋体" w:hAnsi="宋体" w:cs="宋体"/>
                <w:color w:val="000000" w:themeColor="text1"/>
                <w14:textFill>
                  <w14:solidFill>
                    <w14:schemeClr w14:val="tx1"/>
                  </w14:solidFill>
                </w14:textFill>
              </w:rPr>
              <w:t>2023年度或2024年度的</w:t>
            </w:r>
            <w:r>
              <w:rPr>
                <w:rFonts w:hint="eastAsia" w:ascii="宋体" w:hAnsi="宋体" w:cs="宋体"/>
                <w:color w:val="000000" w:themeColor="text1"/>
                <w:szCs w:val="21"/>
                <w14:textFill>
                  <w14:solidFill>
                    <w14:schemeClr w14:val="tx1"/>
                  </w14:solidFill>
                </w14:textFill>
              </w:rPr>
              <w:t>经会计师事务所审计的财务报告（须上传加盖会计师事务所公章及注册会计师签章的扫描件）；没有经审计的财务报告的，可以提供基本开户银行出具的资信证明复印件；如供应商为参加磋商当年新成立公司的，应提供于公司成立之日后的财务状况报告。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3.★依法缴纳税收：</w:t>
            </w:r>
            <w:r>
              <w:rPr>
                <w:rFonts w:hint="eastAsia" w:ascii="宋体" w:hAnsi="宋体" w:cs="宋体"/>
                <w:color w:val="000000" w:themeColor="text1"/>
                <w14:textFill>
                  <w14:solidFill>
                    <w14:schemeClr w14:val="tx1"/>
                  </w14:solidFill>
                </w14:textFill>
              </w:rPr>
              <w:t>响应文件递交截止之日前半年内</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连续三个月的依法缴纳税收</w:t>
            </w:r>
            <w:r>
              <w:rPr>
                <w:rFonts w:hint="eastAsia" w:hAnsi="宋体" w:cs="宋体"/>
              </w:rPr>
              <w:t>（不包括个人所得税）的相关材料，如依法免税或不需要纳税的，应提供相应证明材料复印件</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4.★社会保障资金：</w:t>
            </w:r>
            <w:r>
              <w:rPr>
                <w:rFonts w:hint="eastAsia" w:ascii="宋体" w:hAnsi="宋体" w:cs="宋体"/>
                <w:color w:val="000000" w:themeColor="text1"/>
                <w14:textFill>
                  <w14:solidFill>
                    <w14:schemeClr w14:val="tx1"/>
                  </w14:solidFill>
                </w14:textFill>
              </w:rPr>
              <w:t>响应文件递交截止之日前半年内</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14:textFill>
                  <w14:solidFill>
                    <w14:schemeClr w14:val="tx1"/>
                  </w14:solidFill>
                </w14:textFill>
              </w:rPr>
              <w:t>连续三个月的依法缴纳</w:t>
            </w:r>
            <w:r>
              <w:rPr>
                <w:rFonts w:hint="eastAsia" w:ascii="宋体" w:hAnsi="宋体" w:cs="宋体"/>
                <w:color w:val="000000" w:themeColor="text1"/>
                <w:szCs w:val="21"/>
                <w14:textFill>
                  <w14:solidFill>
                    <w14:schemeClr w14:val="tx1"/>
                  </w14:solidFill>
                </w14:textFill>
              </w:rPr>
              <w:t>社会保障资金的相关材料</w:t>
            </w:r>
            <w:r>
              <w:rPr>
                <w:rFonts w:hint="eastAsia" w:hAnsi="宋体" w:cs="宋体"/>
              </w:rPr>
              <w:t>，如依法不需要缴纳社</w:t>
            </w:r>
            <w:r>
              <w:rPr>
                <w:rFonts w:hint="eastAsia" w:ascii="宋体" w:hAnsi="宋体" w:cs="宋体"/>
                <w:color w:val="000000" w:themeColor="text1"/>
                <w14:textFill>
                  <w14:solidFill>
                    <w14:schemeClr w14:val="tx1"/>
                  </w14:solidFill>
                </w14:textFill>
              </w:rPr>
              <w:t>会保障资金的，则应提供相应证明材料复印件</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5.★参加采购活动前3年内在经营活动中没有重大违法记录的书面声明；</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供应商认为需提供的其他资格证明资料。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976" w:type="dxa"/>
            <w:vMerge w:val="continue"/>
            <w:vAlign w:val="center"/>
          </w:tcPr>
          <w:p>
            <w:pPr>
              <w:topLinePunct/>
              <w:autoSpaceDE w:val="0"/>
              <w:autoSpaceDN w:val="0"/>
              <w:adjustRightInd w:val="0"/>
              <w:snapToGrid w:val="0"/>
              <w:spacing w:line="360" w:lineRule="auto"/>
              <w:rPr>
                <w:rFonts w:ascii="宋体" w:hAnsi="宋体" w:cs="宋体"/>
                <w:b/>
                <w:bCs/>
                <w:color w:val="000000" w:themeColor="text1"/>
                <w:szCs w:val="21"/>
                <w14:textFill>
                  <w14:solidFill>
                    <w14:schemeClr w14:val="tx1"/>
                  </w14:solidFill>
                </w14:textFill>
              </w:rPr>
            </w:pPr>
          </w:p>
        </w:tc>
        <w:tc>
          <w:tcPr>
            <w:tcW w:w="5207" w:type="dxa"/>
            <w:vAlign w:val="center"/>
          </w:tcPr>
          <w:p>
            <w:pPr>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报价一览表</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1.★磋商报价表；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2.中小企业声明函（供应商属于中小企业的，应按照《政府采购促进中小企业发展管理办法》（财库﹝2020﹞46 号印发）《关于印发中小企业划型标准规定的通知》 （工信部联企业〔2011〕300号）如实填写并提交此函）；供应商属于监狱企业的，应提供监狱企业证明文件[省级以上监狱管理局、戒毒管理局（含新疆生产建设兵团）出具的证明文件复印件]；供应商属于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976" w:type="dxa"/>
            <w:vMerge w:val="continue"/>
            <w:vAlign w:val="center"/>
          </w:tcPr>
          <w:p>
            <w:pPr>
              <w:topLinePunct/>
              <w:autoSpaceDE w:val="0"/>
              <w:autoSpaceDN w:val="0"/>
              <w:adjustRightInd w:val="0"/>
              <w:snapToGrid w:val="0"/>
              <w:spacing w:line="360" w:lineRule="auto"/>
              <w:rPr>
                <w:rFonts w:ascii="宋体" w:hAnsi="宋体" w:cs="宋体"/>
                <w:b/>
                <w:bCs/>
                <w:color w:val="000000" w:themeColor="text1"/>
                <w:szCs w:val="21"/>
                <w14:textFill>
                  <w14:solidFill>
                    <w14:schemeClr w14:val="tx1"/>
                  </w14:solidFill>
                </w14:textFill>
              </w:rPr>
            </w:pPr>
          </w:p>
        </w:tc>
        <w:tc>
          <w:tcPr>
            <w:tcW w:w="5207" w:type="dxa"/>
            <w:vAlign w:val="center"/>
          </w:tcPr>
          <w:p>
            <w:pPr>
              <w:widowControl/>
              <w:shd w:val="clear" w:color="auto" w:fill="FFFFFF"/>
              <w:tabs>
                <w:tab w:val="left" w:pos="475"/>
                <w:tab w:val="left" w:pos="617"/>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三、其他文件及资料：</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1.★授权委托书（</w:t>
            </w:r>
            <w:r>
              <w:rPr>
                <w:rFonts w:hint="eastAsia" w:ascii="宋体" w:hAnsi="宋体" w:cs="宋体"/>
                <w:i/>
                <w:color w:val="000000" w:themeColor="text1"/>
                <w:szCs w:val="21"/>
                <w14:textFill>
                  <w14:solidFill>
                    <w14:schemeClr w14:val="tx1"/>
                  </w14:solidFill>
                </w14:textFill>
              </w:rPr>
              <w:t>参考响应文件格式6</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2.★磋商响应函（</w:t>
            </w:r>
            <w:r>
              <w:rPr>
                <w:rFonts w:hint="eastAsia" w:ascii="宋体" w:hAnsi="宋体" w:cs="宋体"/>
                <w:i/>
                <w:color w:val="000000" w:themeColor="text1"/>
                <w:szCs w:val="21"/>
                <w14:textFill>
                  <w14:solidFill>
                    <w14:schemeClr w14:val="tx1"/>
                  </w14:solidFill>
                </w14:textFill>
              </w:rPr>
              <w:t>参考响应文件格式7</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3.★商务条款偏离表；</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4.★磋商保证金缴纳证明（如要求提交保证金的则必须提供，否则响应无效）；</w:t>
            </w:r>
          </w:p>
          <w:p>
            <w:pPr>
              <w:widowControl/>
              <w:tabs>
                <w:tab w:val="left" w:pos="0"/>
                <w:tab w:val="left" w:pos="220"/>
              </w:tabs>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5.供应商认为需要提供的其他说明和资料。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976" w:type="dxa"/>
            <w:vAlign w:val="center"/>
          </w:tcPr>
          <w:p>
            <w:pPr>
              <w:topLinePunct/>
              <w:autoSpaceDE w:val="0"/>
              <w:autoSpaceDN w:val="0"/>
              <w:adjustRightInd w:val="0"/>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p>
        </w:tc>
        <w:tc>
          <w:tcPr>
            <w:tcW w:w="5207" w:type="dxa"/>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1.★技术条款偏离表；</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pacing w:val="8"/>
                <w:szCs w:val="21"/>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pacing w:val="8"/>
                <w:szCs w:val="21"/>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4.拟投入服务人员一览表</w:t>
            </w:r>
            <w:r>
              <w:rPr>
                <w:rFonts w:hint="eastAsia" w:ascii="宋体" w:hAnsi="宋体" w:cs="宋体"/>
                <w:color w:val="000000" w:themeColor="text1"/>
                <w:szCs w:val="21"/>
                <w:lang w:val="zh-CN"/>
                <w14:textFill>
                  <w14:solidFill>
                    <w14:schemeClr w14:val="tx1"/>
                  </w14:solidFill>
                </w14:textFill>
              </w:rPr>
              <w:t>；</w:t>
            </w:r>
          </w:p>
          <w:p>
            <w:pPr>
              <w:widowControl/>
              <w:tabs>
                <w:tab w:val="left" w:pos="0"/>
                <w:tab w:val="left" w:pos="2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5.拟投入检测设备；</w:t>
            </w:r>
          </w:p>
          <w:p>
            <w:pPr>
              <w:widowControl/>
              <w:tabs>
                <w:tab w:val="left" w:pos="0"/>
                <w:tab w:val="left" w:pos="220"/>
              </w:tabs>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6.供应商认为需要提供的其他说明和资料。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p>
        </w:tc>
        <w:tc>
          <w:tcPr>
            <w:tcW w:w="6183" w:type="dxa"/>
            <w:gridSpan w:val="2"/>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1.以上带★的文件及资料未提供或提供的无效，则响应无效。</w:t>
            </w:r>
          </w:p>
          <w:p>
            <w:pPr>
              <w:topLinePunct/>
              <w:autoSpaceDE w:val="0"/>
              <w:autoSpaceDN w:val="0"/>
              <w:adjustRightInd w:val="0"/>
              <w:snapToGrid w:val="0"/>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以上带★的文件，必须加盖供应商公章，否则响应无效。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磋商响应有效期</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从提交响应文件的截止之日起计算</w:t>
            </w:r>
            <w:r>
              <w:rPr>
                <w:rFonts w:hint="eastAsia" w:ascii="宋体" w:hAnsi="宋体" w:cs="宋体"/>
                <w:color w:val="000000" w:themeColor="text1"/>
                <w:szCs w:val="21"/>
                <w:u w:val="single"/>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提交响应文件方式、截止时间、地点</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提交方式：</w:t>
            </w:r>
            <w:r>
              <w:rPr>
                <w:rFonts w:hint="eastAsia" w:ascii="宋体" w:hAnsi="宋体" w:cs="宋体"/>
                <w:color w:val="000000" w:themeColor="text1"/>
                <w:szCs w:val="21"/>
                <w:u w:val="single"/>
                <w14:textFill>
                  <w14:solidFill>
                    <w14:schemeClr w14:val="tx1"/>
                  </w14:solidFill>
                </w14:textFill>
              </w:rPr>
              <w:t>纸质文件提交</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提交响应文件截止时间：</w:t>
            </w:r>
            <w:r>
              <w:rPr>
                <w:rFonts w:hint="eastAsia" w:ascii="宋体" w:hAnsi="宋体" w:cs="宋体"/>
                <w:color w:val="000000" w:themeColor="text1"/>
                <w:szCs w:val="21"/>
                <w:u w:val="single"/>
                <w14:textFill>
                  <w14:solidFill>
                    <w14:schemeClr w14:val="tx1"/>
                  </w14:solidFill>
                </w14:textFill>
              </w:rPr>
              <w:t>2025</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分（北京时间）</w:t>
            </w:r>
          </w:p>
          <w:p>
            <w:pPr>
              <w:spacing w:line="360" w:lineRule="auto"/>
              <w:rPr>
                <w:rFonts w:ascii="宋体" w:hAnsi="宋体" w:cs="宋体"/>
                <w:bCs/>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广西众联工程项目管理有限公司开标厅（南宁市江南区白沙大道53号松宇时代14层）</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联系电话：</w:t>
            </w:r>
            <w:r>
              <w:rPr>
                <w:rFonts w:hint="eastAsia" w:ascii="宋体" w:hAnsi="宋体" w:cs="宋体"/>
                <w:bCs/>
                <w:color w:val="000000" w:themeColor="text1"/>
                <w:szCs w:val="21"/>
                <w:u w:val="single"/>
                <w14:textFill>
                  <w14:solidFill>
                    <w14:schemeClr w14:val="tx1"/>
                  </w14:solidFill>
                </w14:textFill>
              </w:rPr>
              <w:t>0771-4308370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响应文件开启时间和地点</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2025</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u w:val="single"/>
                <w14:textFill>
                  <w14:solidFill>
                    <w14:schemeClr w14:val="tx1"/>
                  </w14:solidFill>
                </w14:textFill>
              </w:rPr>
              <w:t>09</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分（北京时间）</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广西众联工程项目管理有限公司评标室（南宁市江南区白沙大道53号松宇时代14层）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859" w:type="dxa"/>
            <w:vAlign w:val="center"/>
          </w:tcPr>
          <w:p>
            <w:pPr>
              <w:tabs>
                <w:tab w:val="left" w:pos="1875"/>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w:t>
            </w:r>
          </w:p>
        </w:tc>
        <w:tc>
          <w:tcPr>
            <w:tcW w:w="6183" w:type="dxa"/>
            <w:gridSpan w:val="2"/>
            <w:vAlign w:val="center"/>
          </w:tcPr>
          <w:p>
            <w:pPr>
              <w:topLinePunct/>
              <w:autoSpaceDE w:val="0"/>
              <w:autoSpaceDN w:val="0"/>
              <w:adjustRightInd w:val="0"/>
              <w:snapToGrid w:val="0"/>
              <w:spacing w:line="360" w:lineRule="auto"/>
              <w:rPr>
                <w:rFonts w:ascii="宋体" w:hAnsi="宋体" w:cs="宋体"/>
                <w:snapToGrid w:val="0"/>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不要求提供</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要求提供：</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（1）金额：</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采购包1：人民币</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元。</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（2）提交方式：</w:t>
            </w:r>
            <w:r>
              <w:rPr>
                <w:rFonts w:hint="eastAsia" w:ascii="宋体" w:hAnsi="宋体" w:cs="宋体"/>
                <w:color w:val="000000" w:themeColor="text1"/>
                <w14:textFill>
                  <w14:solidFill>
                    <w14:schemeClr w14:val="tx1"/>
                  </w14:solidFill>
                </w14:textFill>
              </w:rPr>
              <w:t>银行转账、支票、汇票、本票或者金融、担保机构出具的保函，禁止采用现钞方式。采用银行转账方式的，在响应文件递交截止时间前交至采购人或采购代理机构指定账户并且到账；采用支票、汇票、本票或者保函等方式的，在响应文件递交截止时间前，供应商必须递交单独密封的支票、汇票、本票或者保函原件。否则视为无效保证金。</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收款人户名：广西众联工程项目管理有限公司</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开户银行：中国光大银行股份有限公司南宁民主支行</w:t>
            </w:r>
          </w:p>
          <w:p>
            <w:pPr>
              <w:topLinePunct/>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银行账号：78900188000167866</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注：以电汇方式递交保证金须在电汇凭据附言栏中写明采购编号、包号及用途（</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859" w:type="dxa"/>
            <w:vAlign w:val="center"/>
          </w:tcPr>
          <w:p>
            <w:pPr>
              <w:tabs>
                <w:tab w:val="left" w:pos="1875"/>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w:t>
            </w:r>
            <w:r>
              <w:rPr>
                <w:rFonts w:hint="eastAsia" w:ascii="宋体" w:hAnsi="宋体" w:cs="宋体"/>
                <w:szCs w:val="21"/>
              </w:rPr>
              <w:t>保证金退还方式以及</w:t>
            </w:r>
            <w:r>
              <w:rPr>
                <w:rFonts w:hint="eastAsia" w:ascii="宋体" w:hAnsi="宋体" w:cs="宋体"/>
                <w:color w:val="000000" w:themeColor="text1"/>
                <w:szCs w:val="21"/>
                <w14:textFill>
                  <w14:solidFill>
                    <w14:schemeClr w14:val="tx1"/>
                  </w14:solidFill>
                </w14:textFill>
              </w:rPr>
              <w:t>不予退还磋商保证金的情形</w:t>
            </w: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未成交的供应商的磋商保</w:t>
            </w:r>
            <w:r>
              <w:rPr>
                <w:rFonts w:hint="eastAsia" w:ascii="Times New Roman" w:hAnsi="Times New Roman" w:cs="宋体"/>
              </w:rPr>
              <w:t>证金，将在成交通知书发出之日起5个工作日内退还，但因</w:t>
            </w:r>
            <w:r>
              <w:rPr>
                <w:rFonts w:hint="eastAsia" w:ascii="宋体" w:hAnsi="宋体" w:cs="宋体"/>
                <w:szCs w:val="21"/>
              </w:rPr>
              <w:t>供应商</w:t>
            </w:r>
            <w:r>
              <w:rPr>
                <w:rFonts w:hint="eastAsia" w:ascii="Times New Roman" w:hAnsi="Times New Roman" w:cs="宋体"/>
              </w:rPr>
              <w:t>自身原因导致无法及时退还的除外；成交的</w:t>
            </w:r>
            <w:r>
              <w:rPr>
                <w:rFonts w:hint="eastAsia" w:ascii="宋体" w:hAnsi="宋体" w:cs="宋体"/>
                <w:szCs w:val="21"/>
              </w:rPr>
              <w:t>供应商</w:t>
            </w:r>
            <w:r>
              <w:rPr>
                <w:rFonts w:hint="eastAsia" w:ascii="Times New Roman" w:hAnsi="Times New Roman" w:cs="宋体"/>
              </w:rPr>
              <w:t>的</w:t>
            </w:r>
            <w:r>
              <w:rPr>
                <w:rFonts w:hint="eastAsia" w:ascii="宋体" w:hAnsi="宋体" w:cs="宋体"/>
                <w:szCs w:val="21"/>
              </w:rPr>
              <w:t>磋商</w:t>
            </w:r>
            <w:r>
              <w:rPr>
                <w:rFonts w:hint="eastAsia" w:ascii="Times New Roman" w:hAnsi="Times New Roman" w:cs="宋体"/>
              </w:rPr>
              <w:t>保证金，将在采购合同签订</w:t>
            </w:r>
            <w:r>
              <w:rPr>
                <w:rFonts w:ascii="Arial" w:hAnsi="Arial" w:cs="Arial"/>
                <w:color w:val="333333"/>
                <w:kern w:val="0"/>
                <w:szCs w:val="21"/>
              </w:rPr>
              <w:t>之日起</w:t>
            </w:r>
            <w:r>
              <w:rPr>
                <w:rFonts w:hint="eastAsia" w:ascii="Times New Roman" w:hAnsi="Times New Roman" w:cs="宋体"/>
              </w:rPr>
              <w:t>5个工作日内退还。</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有下列情形之一的，磋商保证金将不予退还：</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（2）供应商在响应文件中提供虚假材料的；</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（3）除因不可抗力或磋商文件认可的情形以外，成交供应商不与采购人签订合同的；</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（4）供应商与采购人、其他供应商或者采购代理机构恶意串通的； </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（5）其他不予退还磋商保证金的情形：</w:t>
            </w:r>
            <w:r>
              <w:rPr>
                <w:rFonts w:hint="eastAsia" w:ascii="宋体" w:hAnsi="宋体" w:cs="宋体"/>
                <w:color w:val="000000" w:themeColor="text1"/>
                <w:szCs w:val="21"/>
                <w:u w:val="single"/>
                <w14:textFill>
                  <w14:solidFill>
                    <w14:schemeClr w14:val="tx1"/>
                  </w14:solidFill>
                </w14:textFill>
              </w:rPr>
              <w:t xml:space="preserve">   无   </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859" w:type="dxa"/>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信用记录审查</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根据《财政部关于在政府采购活动中查询及使用信用记录有关问题的通知》（财库〔2016〕125号）规定，磋商小组将通过“信用中国”网站（www.creditchina.gov.cn）、中国政府采购网（</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rFonts w:hint="eastAsia"/>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www.ccgp.gov.cn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本次查询的信用记录仅限于本项目使用，查询结果将留存在采购档案中。</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在上述指定网站不能查询信用信息的供应商，应提供相关证明材料（原件加盖公章）。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支持中小型</w:t>
            </w:r>
          </w:p>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企业发展</w:t>
            </w:r>
          </w:p>
        </w:tc>
        <w:tc>
          <w:tcPr>
            <w:tcW w:w="6183" w:type="dxa"/>
            <w:gridSpan w:val="2"/>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根据《政府采购促进中小型企业发展管理办法》（财库〔2020〕46号），鼓励中小企业参加本项目采购活动。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在货物采购项目中，</w:t>
            </w:r>
            <w:r>
              <w:rPr>
                <w:rFonts w:hint="eastAsia" w:ascii="宋体" w:hAnsi="宋体" w:cs="宋体"/>
                <w:color w:val="000000" w:themeColor="text1"/>
                <w:szCs w:val="21"/>
                <w14:textFill>
                  <w14:solidFill>
                    <w14:schemeClr w14:val="tx1"/>
                  </w14:solidFill>
                </w14:textFill>
              </w:rPr>
              <w:t>满足所有标的均由中小企业制造，即所有标的均由中小企业生产且使用该中小企业商号或者注册商标的，可享受中小企业扶持政策。</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在服务采购项目中，</w:t>
            </w:r>
            <w:r>
              <w:rPr>
                <w:rFonts w:hint="eastAsia" w:ascii="宋体" w:hAnsi="宋体" w:cs="宋体"/>
                <w:color w:val="000000" w:themeColor="text1"/>
                <w:szCs w:val="21"/>
                <w14:textFill>
                  <w14:solidFill>
                    <w14:schemeClr w14:val="tx1"/>
                  </w14:solidFill>
                </w14:textFill>
              </w:rPr>
              <w:t>满足服务由中小企业承接，即提供服务的人员为中小企业依照《中华人民共和国劳动合同法》订立劳动合同的从业人员的，可享受中小企业扶持政策。</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在工程采购项目中，</w:t>
            </w:r>
            <w:r>
              <w:rPr>
                <w:rFonts w:hint="eastAsia" w:ascii="宋体" w:hAnsi="宋体" w:cs="宋体"/>
                <w:color w:val="000000" w:themeColor="text1"/>
                <w:szCs w:val="21"/>
                <w14:textFill>
                  <w14:solidFill>
                    <w14:schemeClr w14:val="tx1"/>
                  </w14:solidFill>
                </w14:textFill>
              </w:rPr>
              <w:t>满足工程由中小企业承建，即工程施工单位为中小企业，可享受中小企业扶持政策。</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□专门面向中小企业采购项目。</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□预留份额面向中小企业采购项目（说明：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非专门面向中小企业采购项目。对小型和微型企业的报价给予</w:t>
            </w:r>
            <w:r>
              <w:rPr>
                <w:rFonts w:hint="eastAsia" w:ascii="宋体" w:hAnsi="宋体" w:cs="宋体"/>
                <w:color w:val="000000" w:themeColor="text1"/>
                <w:szCs w:val="21"/>
                <w:u w:val="single"/>
                <w14:textFill>
                  <w14:solidFill>
                    <w14:schemeClr w14:val="tx1"/>
                  </w14:solidFill>
                </w14:textFill>
              </w:rPr>
              <w:t xml:space="preserve"> 1</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859" w:type="dxa"/>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支持监狱企业发展</w:t>
            </w:r>
          </w:p>
        </w:tc>
        <w:tc>
          <w:tcPr>
            <w:tcW w:w="6183" w:type="dxa"/>
            <w:gridSpan w:val="2"/>
            <w:vAlign w:val="center"/>
          </w:tcPr>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根据《关于政府采购支持监狱企业发展有关问题的通知》（财库〔2014〕68号），监狱企业视同小型、微型企业，按照</w:t>
            </w:r>
            <w:r>
              <w:rPr>
                <w:rFonts w:hint="eastAsia" w:ascii="宋体" w:hAnsi="宋体" w:cs="宋体"/>
                <w:b/>
                <w:bCs/>
                <w:color w:val="000000" w:themeColor="text1"/>
                <w:szCs w:val="21"/>
                <w14:textFill>
                  <w14:solidFill>
                    <w14:schemeClr w14:val="tx1"/>
                  </w14:solidFill>
                </w14:textFill>
              </w:rPr>
              <w:t>供应商须知前附表第25项</w:t>
            </w:r>
            <w:r>
              <w:rPr>
                <w:rFonts w:hint="eastAsia" w:ascii="宋体" w:hAnsi="宋体" w:cs="宋体"/>
                <w:color w:val="000000" w:themeColor="text1"/>
                <w:szCs w:val="21"/>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促进残疾人</w:t>
            </w:r>
          </w:p>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就业</w:t>
            </w:r>
          </w:p>
        </w:tc>
        <w:tc>
          <w:tcPr>
            <w:tcW w:w="6183" w:type="dxa"/>
            <w:gridSpan w:val="2"/>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根据《关于促进残疾人就业政府采购政策的通知》（财库〔2017〕141号），残疾人福利性单位视同小型、微型企业，按照</w:t>
            </w:r>
            <w:r>
              <w:rPr>
                <w:rFonts w:hint="eastAsia" w:ascii="宋体" w:hAnsi="宋体" w:cs="宋体"/>
                <w:b/>
                <w:bCs/>
                <w:color w:val="000000" w:themeColor="text1"/>
                <w:szCs w:val="21"/>
                <w14:textFill>
                  <w14:solidFill>
                    <w14:schemeClr w14:val="tx1"/>
                  </w14:solidFill>
                </w14:textFill>
              </w:rPr>
              <w:t>供应商须知前附表第25项</w:t>
            </w:r>
            <w:r>
              <w:rPr>
                <w:rFonts w:hint="eastAsia" w:ascii="宋体" w:hAnsi="宋体" w:cs="宋体"/>
                <w:color w:val="000000" w:themeColor="text1"/>
                <w:szCs w:val="21"/>
                <w14:textFill>
                  <w14:solidFill>
                    <w14:schemeClr w14:val="tx1"/>
                  </w14:solidFill>
                </w14:textFill>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859" w:type="dxa"/>
            <w:vMerge w:val="restart"/>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其他法律法规强制性规定或扶持政策</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本项目中强制采购节能产品的货物名称：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注：供应商所投上述产品必须具有节能产品认证证书，并提供依据国家确定的认证机构出具的、处于有效期之内的节能产品认证证书复印件，否则响应无效。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before="62" w:after="62" w:line="360" w:lineRule="auto"/>
              <w:jc w:val="center"/>
              <w:rPr>
                <w:rFonts w:ascii="宋体" w:hAnsi="宋体" w:cs="宋体"/>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本项目中采购信息安全产品的货物名称：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注：供应商所投上述产品须为国家认证的信息安全产品，并提供由中国网络安全审查技术与认证中心（原中国信息安全认证中心）按国家标准认证颁发的有效认证证书复印件，否则响应无效。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59" w:type="dxa"/>
            <w:vMerge w:val="continue"/>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6183" w:type="dxa"/>
            <w:gridSpan w:val="2"/>
            <w:vAlign w:val="center"/>
          </w:tcPr>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其他法律法规强制性规定或扶持政策：</w:t>
            </w:r>
          </w:p>
          <w:p>
            <w:pPr>
              <w:topLinePunct/>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采购包1：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859" w:type="dxa"/>
            <w:vAlign w:val="center"/>
          </w:tcPr>
          <w:p>
            <w:pPr>
              <w:tabs>
                <w:tab w:val="left" w:pos="1875"/>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评审方法及分值</w:t>
            </w:r>
          </w:p>
        </w:tc>
        <w:tc>
          <w:tcPr>
            <w:tcW w:w="6183" w:type="dxa"/>
            <w:gridSpan w:val="2"/>
            <w:vAlign w:val="center"/>
          </w:tcPr>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详见磋商文件商务部分第三章。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859" w:type="dxa"/>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183" w:type="dxa"/>
            <w:gridSpan w:val="2"/>
            <w:vAlign w:val="center"/>
          </w:tcPr>
          <w:p>
            <w:pPr>
              <w:topLinePunct/>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不要求提供</w:t>
            </w:r>
          </w:p>
          <w:p>
            <w:pPr>
              <w:topLinePunct/>
              <w:autoSpaceDE w:val="0"/>
              <w:autoSpaceDN w:val="0"/>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本采购项目履约保证金为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，提交方式为银行电汇、金融机构或担保机构出具的保函。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859" w:type="dxa"/>
            <w:vAlign w:val="center"/>
          </w:tcPr>
          <w:p>
            <w:pPr>
              <w:topLinePunct/>
              <w:autoSpaceDE w:val="0"/>
              <w:autoSpaceDN w:val="0"/>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接收质疑的方式、部门、电话和通讯地址</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质疑联系方式：</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（1）接收质疑函的方式：</w:t>
            </w:r>
            <w:r>
              <w:rPr>
                <w:rFonts w:hint="eastAsia" w:ascii="宋体" w:hAnsi="宋体" w:cs="宋体"/>
                <w:color w:val="000000" w:themeColor="text1"/>
                <w:szCs w:val="21"/>
                <w:u w:val="single"/>
                <w14:textFill>
                  <w14:solidFill>
                    <w14:schemeClr w14:val="tx1"/>
                  </w14:solidFill>
                </w14:textFill>
              </w:rPr>
              <w:t>纸质方式</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（2）联系部门：</w:t>
            </w:r>
            <w:r>
              <w:rPr>
                <w:rFonts w:hint="eastAsia" w:ascii="宋体" w:hAnsi="宋体" w:cs="宋体"/>
                <w:color w:val="000000" w:themeColor="text1"/>
                <w:szCs w:val="21"/>
                <w:u w:val="single"/>
                <w14:textFill>
                  <w14:solidFill>
                    <w14:schemeClr w14:val="tx1"/>
                  </w14:solidFill>
                </w14:textFill>
              </w:rPr>
              <w:t>广西众联工程项目管理有限公司招标代理部</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（3）联系电话：</w:t>
            </w:r>
            <w:r>
              <w:rPr>
                <w:rFonts w:hint="eastAsia" w:ascii="宋体" w:hAnsi="宋体" w:cs="宋体"/>
                <w:color w:val="000000" w:themeColor="text1"/>
                <w:szCs w:val="21"/>
                <w:u w:val="single"/>
                <w14:textFill>
                  <w14:solidFill>
                    <w14:schemeClr w14:val="tx1"/>
                  </w14:solidFill>
                </w14:textFill>
              </w:rPr>
              <w:t>0771-4308370</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（4）通讯地址：</w:t>
            </w:r>
            <w:r>
              <w:rPr>
                <w:rFonts w:hint="eastAsia" w:ascii="宋体" w:hAnsi="宋体" w:cs="宋体"/>
                <w:color w:val="000000" w:themeColor="text1"/>
                <w:szCs w:val="21"/>
                <w:u w:val="single"/>
                <w14:textFill>
                  <w14:solidFill>
                    <w14:schemeClr w14:val="tx1"/>
                  </w14:solidFill>
                </w14:textFill>
              </w:rPr>
              <w:t>南宁市江南区白沙大道53号松宇时代14A层</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（5）电子邮箱：</w:t>
            </w:r>
            <w:r>
              <w:rPr>
                <w:rFonts w:hint="eastAsia" w:ascii="宋体" w:hAnsi="宋体" w:cs="宋体"/>
                <w:color w:val="000000" w:themeColor="text1"/>
                <w:szCs w:val="21"/>
                <w:u w:val="single"/>
                <w14:textFill>
                  <w14:solidFill>
                    <w14:schemeClr w14:val="tx1"/>
                  </w14:solidFill>
                </w14:textFill>
              </w:rPr>
              <w:t>258838465@qq.com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需提交的响应文件份数</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需提交的响应文件份数：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（1）正本</w:t>
            </w:r>
            <w:r>
              <w:rPr>
                <w:rFonts w:hint="eastAsia"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份、副本</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份。</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（2）电子文件</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份（☑正本盖章版扫描件 □Word）。</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采用光盘或U盘提交。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1859"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代理费用</w:t>
            </w:r>
          </w:p>
        </w:tc>
        <w:tc>
          <w:tcPr>
            <w:tcW w:w="6183" w:type="dxa"/>
            <w:gridSpan w:val="2"/>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代理费用：</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（1）本项目代理费用由</w:t>
            </w:r>
            <w:r>
              <w:rPr>
                <w:rFonts w:hint="eastAsia" w:ascii="宋体" w:hAnsi="宋体" w:cs="宋体"/>
                <w:color w:val="000000" w:themeColor="text1"/>
                <w:szCs w:val="21"/>
                <w:u w:val="single"/>
                <w14:textFill>
                  <w14:solidFill>
                    <w14:schemeClr w14:val="tx1"/>
                  </w14:solidFill>
                </w14:textFill>
              </w:rPr>
              <w:t>成交供应商</w:t>
            </w:r>
            <w:r>
              <w:rPr>
                <w:rFonts w:hint="eastAsia" w:ascii="宋体" w:hAnsi="宋体" w:cs="宋体"/>
                <w:color w:val="000000" w:themeColor="text1"/>
                <w:szCs w:val="21"/>
                <w14:textFill>
                  <w14:solidFill>
                    <w14:schemeClr w14:val="tx1"/>
                  </w14:solidFill>
                </w14:textFill>
              </w:rPr>
              <w:t>支付。</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（2）代理费用收取方式及标准：</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照国家发展计划委员会《招标代理服务费管理暂行办法》（计价格〔2002〕1980号）、《国家发改委关于降低部分建设项目收费标准规范收费行为等有关问题的通知》（发改价格〔2011〕534号）规定的采购代理服务费标准，适用“服务招标”的费率</w:t>
            </w:r>
            <w:r>
              <w:rPr>
                <w:rFonts w:hint="eastAsia" w:ascii="宋体" w:hAnsi="宋体" w:cs="宋体"/>
                <w:color w:val="000000" w:themeColor="text1"/>
                <w:szCs w:val="21"/>
                <w:lang w:val="zh-CN"/>
                <w14:textFill>
                  <w14:solidFill>
                    <w14:schemeClr w14:val="tx1"/>
                  </w14:solidFill>
                </w14:textFill>
              </w:rPr>
              <w:t>。</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即：</w:t>
            </w:r>
          </w:p>
          <w:tbl>
            <w:tblPr>
              <w:tblStyle w:val="19"/>
              <w:tblpPr w:leftFromText="180" w:rightFromText="180" w:vertAnchor="text" w:horzAnchor="page" w:tblpX="166" w:tblpY="74"/>
              <w:tblOverlap w:val="never"/>
              <w:tblW w:w="5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1077"/>
              <w:gridCol w:w="114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19" w:type="dxa"/>
                  <w:tcBorders>
                    <w:tl2br w:val="single" w:color="auto" w:sz="4" w:space="0"/>
                  </w:tcBorders>
                </w:tcPr>
                <w:p>
                  <w:pPr>
                    <w:ind w:left="1365" w:hanging="1365" w:hangingChars="6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费率</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成交金额</w:t>
                  </w:r>
                </w:p>
              </w:tc>
              <w:tc>
                <w:tcPr>
                  <w:tcW w:w="1077" w:type="dxa"/>
                  <w:vAlign w:val="center"/>
                </w:tcPr>
                <w:p>
                  <w:pPr>
                    <w:ind w:firstLine="105"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货物招标</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服务招标</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100万元以下</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100～500万元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0.8%</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500～1000万元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0.8%</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0.45%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1000～5000万元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5000万元～1亿元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1～5亿元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1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5～10亿元</w:t>
                  </w:r>
                </w:p>
              </w:tc>
              <w:tc>
                <w:tcPr>
                  <w:tcW w:w="107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c>
                <w:tcPr>
                  <w:tcW w:w="1148"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c>
                <w:tcPr>
                  <w:tcW w:w="103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0.035%</w:t>
                  </w:r>
                </w:p>
              </w:tc>
            </w:tr>
          </w:tbl>
          <w:p>
            <w:pPr>
              <w:pStyle w:val="8"/>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注：采购代理服务收费按差额定率累进法计算。</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例如：广西税务系统某工程招标代理业务成交金额为6000万元，计算招标代理服务收费额如下：</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100万元×1.0%=1万元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（500-100）万元×0.7%=2.8万元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（1000-500）万元×0.55%=2.75万元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（5000-1000）万元×0.35%=14万元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（6000-5000）万元×0.2%=2万元</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合计收费（标准费率）=1+2.8+2.75+14+2=22.55（万元）</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（2）代理费用汇到如下指定账户：</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开户名称：广西众联工程项目管理有限公司</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开户银行：中国光大银行股份有限公司南宁民主支行</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topLinePunct/>
              <w:autoSpaceDE w:val="0"/>
              <w:autoSpaceDN w:val="0"/>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p>
        </w:tc>
        <w:tc>
          <w:tcPr>
            <w:tcW w:w="185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其他补充事项</w:t>
            </w:r>
          </w:p>
        </w:tc>
        <w:tc>
          <w:tcPr>
            <w:tcW w:w="6183" w:type="dxa"/>
            <w:gridSpan w:val="2"/>
            <w:vAlign w:val="center"/>
          </w:tcPr>
          <w:p>
            <w:pPr>
              <w:pStyle w:val="1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其他补充事项：</w:t>
            </w:r>
          </w:p>
          <w:p>
            <w:pPr>
              <w:pStyle w:val="1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投标专用章、业务专用章等其他形式印章均不能代替公章。</w:t>
            </w:r>
          </w:p>
          <w:p>
            <w:pPr>
              <w:pStyle w:val="1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2.本磋商文件中描述供应商的“签字”是指供应商的法定代表人（负责人）或被授权人亲自在磋商文件规定签署处亲笔写上个人的名字的行为，私章、签字章、印鉴、影印等其他形式均不能代替亲笔签字。</w:t>
            </w:r>
          </w:p>
          <w:p>
            <w:pPr>
              <w:pStyle w:val="1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3.成交供应商享受中小企业扶持政策的，采购人、采购代理机构应当随成交结果公开成交、成交供应商的《中小企业声明函》。</w:t>
            </w:r>
          </w:p>
          <w:p>
            <w:pPr>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4.成交供应商为残疾人福利性单位的，采购人或者其委托的采购代理机构应当随成交结果同时公告其《残疾人福利性单位声明函》，接受社会监督。</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5.本磋商文件所称的“以上”“以下”“内”“以内”，包括本数；所称的“不足”，不包括本数。</w:t>
            </w:r>
          </w:p>
        </w:tc>
      </w:tr>
    </w:tbl>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3"/>
        <w:ind w:firstLine="211" w:firstLineChars="100"/>
        <w:rPr>
          <w:rFonts w:ascii="宋体" w:hAnsi="宋体" w:eastAsia="宋体" w:cs="宋体"/>
          <w:color w:val="000000" w:themeColor="text1"/>
          <w:sz w:val="21"/>
          <w:szCs w:val="21"/>
          <w14:textFill>
            <w14:solidFill>
              <w14:schemeClr w14:val="tx1"/>
            </w14:solidFill>
          </w14:textFill>
        </w:rPr>
      </w:pPr>
      <w:bookmarkStart w:id="23" w:name="_Toc29193"/>
      <w:r>
        <w:rPr>
          <w:rFonts w:hint="eastAsia" w:ascii="宋体" w:hAnsi="宋体" w:eastAsia="宋体" w:cs="宋体"/>
          <w:color w:val="000000" w:themeColor="text1"/>
          <w:sz w:val="21"/>
          <w:szCs w:val="21"/>
          <w14:textFill>
            <w14:solidFill>
              <w14:schemeClr w14:val="tx1"/>
            </w14:solidFill>
          </w14:textFill>
        </w:rPr>
        <w:t>一、总则</w:t>
      </w:r>
      <w:bookmarkEnd w:id="23"/>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1.预算资金及来源</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本项目已经</w:t>
      </w:r>
      <w:r>
        <w:rPr>
          <w:rFonts w:hint="eastAsia" w:ascii="宋体" w:hAnsi="宋体" w:cs="宋体"/>
          <w:b/>
          <w:color w:val="000000" w:themeColor="text1"/>
          <w:szCs w:val="21"/>
          <w:u w:val="single"/>
          <w14:textFill>
            <w14:solidFill>
              <w14:schemeClr w14:val="tx1"/>
            </w14:solidFill>
          </w14:textFill>
        </w:rPr>
        <w:t>国家税务总局南宁市良庆区税务局</w:t>
      </w:r>
      <w:r>
        <w:rPr>
          <w:rFonts w:hint="eastAsia" w:ascii="宋体" w:hAnsi="宋体" w:cs="宋体"/>
          <w:color w:val="000000" w:themeColor="text1"/>
          <w:szCs w:val="21"/>
          <w14:textFill>
            <w14:solidFill>
              <w14:schemeClr w14:val="tx1"/>
            </w14:solidFill>
          </w14:textFill>
        </w:rPr>
        <w:t>批准。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本项目预算资金见</w:t>
      </w:r>
      <w:r>
        <w:rPr>
          <w:rFonts w:hint="eastAsia" w:ascii="宋体" w:hAnsi="宋体" w:cs="宋体"/>
          <w:b/>
          <w:bCs/>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，已列入</w:t>
      </w:r>
      <w:r>
        <w:rPr>
          <w:rFonts w:hint="eastAsia" w:ascii="宋体" w:hAnsi="宋体" w:cs="宋体"/>
          <w:b/>
          <w:color w:val="000000" w:themeColor="text1"/>
          <w:szCs w:val="21"/>
          <w:u w:val="single"/>
          <w14:textFill>
            <w14:solidFill>
              <w14:schemeClr w14:val="tx1"/>
            </w14:solidFill>
          </w14:textFill>
        </w:rPr>
        <w:t>国家税务总局南宁市良庆区税务局</w:t>
      </w:r>
      <w:r>
        <w:rPr>
          <w:rFonts w:hint="eastAsia" w:ascii="宋体" w:hAnsi="宋体" w:cs="宋体"/>
          <w:color w:val="000000" w:themeColor="text1"/>
          <w:szCs w:val="21"/>
          <w14:textFill>
            <w14:solidFill>
              <w14:schemeClr w14:val="tx1"/>
            </w14:solidFill>
          </w14:textFill>
        </w:rPr>
        <w:t>预算。</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2.合格的产品和服务（工程）</w:t>
      </w:r>
    </w:p>
    <w:p>
      <w:pPr>
        <w:tabs>
          <w:tab w:val="left" w:pos="216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本项目所涉及的所有产品和服务（工程）均应来自中国境内（指关境内），合同金额的支付也仅限于这些产品和服务（工程）。</w:t>
      </w:r>
    </w:p>
    <w:p>
      <w:pPr>
        <w:tabs>
          <w:tab w:val="left" w:pos="216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合格的产品和服务（工程），即</w:t>
      </w:r>
      <w:r>
        <w:rPr>
          <w:rFonts w:hint="eastAsia" w:ascii="宋体" w:hAnsi="宋体" w:cs="宋体"/>
          <w:b/>
          <w:bCs/>
          <w:color w:val="000000" w:themeColor="text1"/>
          <w:szCs w:val="21"/>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见磋商</w:t>
      </w:r>
      <w:r>
        <w:rPr>
          <w:rFonts w:hint="eastAsia" w:ascii="宋体" w:hAnsi="宋体" w:cs="宋体"/>
          <w:b/>
          <w:color w:val="000000" w:themeColor="text1"/>
          <w:szCs w:val="21"/>
          <w14:textFill>
            <w14:solidFill>
              <w14:schemeClr w14:val="tx1"/>
            </w14:solidFill>
          </w14:textFill>
        </w:rPr>
        <w:t>文件（技术部分）。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供应商应保证所提供的产品及服务（工程）免受第三方提出侵犯其知识产权（专利权、商标权、工业设计权及使用权）的请求及起诉。</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3.合格的供应商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3.1一般规定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3.1.1供应商应有关法律、法规和规章的强制性规定。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3.1.2供应商的资格要求及本项目的特定资格要求见</w:t>
      </w:r>
      <w:r>
        <w:rPr>
          <w:rFonts w:hint="eastAsia" w:ascii="宋体" w:hAnsi="宋体" w:cs="宋体"/>
          <w:b/>
          <w:bCs/>
          <w:color w:val="000000" w:themeColor="text1"/>
          <w14:textFill>
            <w14:solidFill>
              <w14:schemeClr w14:val="tx1"/>
            </w14:solidFill>
          </w14:textFill>
        </w:rPr>
        <w:t>供应商须知前附</w:t>
      </w:r>
      <w:r>
        <w:rPr>
          <w:rFonts w:hint="eastAsia" w:ascii="宋体" w:hAnsi="宋体" w:cs="宋体"/>
          <w:color w:val="000000" w:themeColor="text1"/>
          <w14:textFill>
            <w14:solidFill>
              <w14:schemeClr w14:val="tx1"/>
            </w14:solidFill>
          </w14:textFill>
        </w:rPr>
        <w:t>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3.1.3资格条件中所称“重大违法记录”，是指供应商因违法经营受到刑事处罚或者责令停产停业、吊销许可证或者执照、较大数额罚款等行政处罚。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“较大数额罚款”认定为200万元以上的罚款，法律、行政法规以及国务院有关部门明确规定相关领域“较大数额罚款”标准高于200万元的，从其规定。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3.1.4信用记录要求</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本项目采购活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3.2联合体</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3.2.1若本项目接受联合体，则两个以上的自然人、法人或者其他组织可以组成一个联合体，以一个供应商的身份共同参加采购活动。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3.2.2以联合体形式参加磋商的，联合体各方应按第二章要求提供资格条件材料。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3.2.3联合体中有同类资质的供应商按照联合体分工承担相同工作的，应当按照资质等级较低的供应商确定资质等级。</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3.2.4联合体应当提交联合协议，载明联合体各方承担的工作和义务。</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3.2.5联合体各方应当共同与采购人签订采购合同，就采购合同约定的事项对采购人承担连带责任。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3.2.6以联合体形式参加本项目采购活动的，联合体各方不得再单独参加或者与其他供应商另外组成联合体参加同一合同项下的采购活动。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3.3禁止规定</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3.3.1单位负责人为同一人或者存在直接控股、管理关系的不同供应商，不得参加同一采购包的采购活动。否则响应均无效。</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3.3.2除单一来源采购项目外，为采购项目提供整体设计、规范编制或者项目管理、监理、检测等服务的供应商，不得再参加该采购项目的其他采购活动。否则响应无效。</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4.磋商响应费用</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4.1供应商应承担所有与编写、提交响应文件有关的费用，不论磋商的结果如何，采购人在任何情况下均无义务和责任承担这些费用。</w:t>
      </w:r>
    </w:p>
    <w:p>
      <w:pPr>
        <w:pStyle w:val="3"/>
        <w:ind w:firstLine="422" w:firstLineChars="200"/>
        <w:rPr>
          <w:rFonts w:ascii="宋体" w:hAnsi="宋体" w:eastAsia="宋体" w:cs="宋体"/>
          <w:color w:val="000000" w:themeColor="text1"/>
          <w:sz w:val="21"/>
          <w:szCs w:val="21"/>
          <w14:textFill>
            <w14:solidFill>
              <w14:schemeClr w14:val="tx1"/>
            </w14:solidFill>
          </w14:textFill>
        </w:rPr>
      </w:pPr>
      <w:bookmarkStart w:id="24" w:name="_Toc11006"/>
      <w:r>
        <w:rPr>
          <w:rFonts w:hint="eastAsia" w:ascii="宋体" w:hAnsi="宋体" w:eastAsia="宋体" w:cs="宋体"/>
          <w:color w:val="000000" w:themeColor="text1"/>
          <w:sz w:val="21"/>
          <w:szCs w:val="21"/>
          <w14:textFill>
            <w14:solidFill>
              <w14:schemeClr w14:val="tx1"/>
            </w14:solidFill>
          </w14:textFill>
        </w:rPr>
        <w:t>二、磋商文件</w:t>
      </w:r>
      <w:bookmarkEnd w:id="24"/>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5.磋商文件构成</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第一部分 商务部分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（1）磋商邀请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（2）供应商须知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（3）评审方法及标准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（4）采购合同文本</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（5）响应文件格式</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第二部分 技术部分</w:t>
      </w:r>
    </w:p>
    <w:p>
      <w:pPr>
        <w:topLinePunct/>
        <w:autoSpaceDE w:val="0"/>
        <w:autoSpaceDN w:val="0"/>
        <w:adjustRightInd w:val="0"/>
        <w:snapToGrid w:val="0"/>
        <w:spacing w:line="360" w:lineRule="auto"/>
        <w:ind w:firstLine="420" w:firstLineChars="200"/>
        <w:rPr>
          <w:rFonts w:ascii="宋体" w:hAnsi="宋体" w:cs="宋体"/>
          <w:b/>
          <w:color w:val="000000" w:themeColor="text1"/>
          <w:szCs w:val="21"/>
          <w14:textFill>
            <w14:solidFill>
              <w14:schemeClr w14:val="tx1"/>
            </w14:solidFill>
          </w14:textFill>
        </w:rPr>
      </w:pPr>
      <w:r>
        <w:rPr>
          <w:rStyle w:val="24"/>
          <w:rFonts w:hint="eastAsia" w:ascii="宋体" w:hAnsi="宋体" w:cs="宋体"/>
          <w:color w:val="000000" w:themeColor="text1"/>
          <w:szCs w:val="21"/>
          <w:u w:val="none"/>
          <w14:textFill>
            <w14:solidFill>
              <w14:schemeClr w14:val="tx1"/>
            </w14:solidFill>
          </w14:textFill>
        </w:rPr>
        <w:t>（6）项目采购需求</w:t>
      </w:r>
    </w:p>
    <w:p>
      <w:pPr>
        <w:topLinePunct/>
        <w:autoSpaceDE w:val="0"/>
        <w:autoSpaceDN w:val="0"/>
        <w:adjustRightInd w:val="0"/>
        <w:snapToGrid w:val="0"/>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6.磋商文件询问、澄清或修改</w:t>
      </w:r>
    </w:p>
    <w:p>
      <w:pPr>
        <w:widowControl/>
        <w:topLinePunct/>
        <w:autoSpaceDE w:val="0"/>
        <w:autoSpaceDN w:val="0"/>
        <w:adjustRightInd w:val="0"/>
        <w:snapToGrid w:val="0"/>
        <w:spacing w:line="360" w:lineRule="auto"/>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6.1供应商对磋商文件如有疑问的，可以向采购人或者采购代理机构提出询问，采购人或者采购代理机构应当在3个工作日内作出答复</w:t>
      </w:r>
      <w:r>
        <w:rPr>
          <w:rFonts w:hint="eastAsia" w:ascii="宋体" w:hAnsi="宋体" w:cs="宋体"/>
          <w:bCs/>
          <w:color w:val="000000" w:themeColor="text1"/>
          <w:szCs w:val="21"/>
          <w14:textFill>
            <w14:solidFill>
              <w14:schemeClr w14:val="tx1"/>
            </w14:solidFill>
          </w14:textFill>
        </w:rPr>
        <w:t>，但答复的内容不得涉及商业秘密。</w:t>
      </w:r>
      <w:r>
        <w:rPr>
          <w:rFonts w:hint="eastAsia" w:ascii="宋体" w:hAnsi="宋体" w:cs="宋体"/>
          <w:color w:val="000000" w:themeColor="text1"/>
          <w:szCs w:val="21"/>
          <w14:textFill>
            <w14:solidFill>
              <w14:schemeClr w14:val="tx1"/>
            </w14:solidFill>
          </w14:textFill>
        </w:rPr>
        <w:t>如有必要，采购人或者采购代理机构可对磋商文件进行澄清或者修改。</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6.2提交首次响应文件截止之日前，采购人、采购代理机构或者磋商小组可以对已发出的磋商文件进行必要的澄清或者修改。</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6.3澄清或者修改将在原公告发布媒体上发布更正公告，并以书面形式通知所有获取磋商文件的供应商。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6.5澄清或者修改的内容作为磋商文件的组成部分。</w:t>
      </w:r>
    </w:p>
    <w:p>
      <w:pPr>
        <w:pStyle w:val="3"/>
        <w:ind w:firstLine="422" w:firstLineChars="200"/>
        <w:rPr>
          <w:rFonts w:ascii="宋体" w:hAnsi="宋体" w:eastAsia="宋体" w:cs="宋体"/>
          <w:color w:val="000000" w:themeColor="text1"/>
          <w:sz w:val="21"/>
          <w:szCs w:val="21"/>
          <w14:textFill>
            <w14:solidFill>
              <w14:schemeClr w14:val="tx1"/>
            </w14:solidFill>
          </w14:textFill>
        </w:rPr>
      </w:pPr>
      <w:bookmarkStart w:id="25" w:name="_Toc25318"/>
      <w:r>
        <w:rPr>
          <w:rFonts w:hint="eastAsia" w:ascii="宋体" w:hAnsi="宋体" w:eastAsia="宋体" w:cs="宋体"/>
          <w:color w:val="000000" w:themeColor="text1"/>
          <w:sz w:val="21"/>
          <w:szCs w:val="21"/>
          <w14:textFill>
            <w14:solidFill>
              <w14:schemeClr w14:val="tx1"/>
            </w14:solidFill>
          </w14:textFill>
        </w:rPr>
        <w:t>三、响应文件</w:t>
      </w:r>
      <w:bookmarkEnd w:id="25"/>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7.1响应文件的编制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7.1.1供应商应先仔细阅读</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文件的全部内容后，再进行响应文件的编制。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7.1.2响应文件应满足</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文件提出的实质性要求和条件，并保证其所提交的全部资料是不可割离且真实、有效、准确、完整和不具有任何误导性的，否则造成的不利后果由供应商承担责任。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7.2响应文件的语言</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7.2.1除</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文件另有规定外，响应文件应使用中文文本并使用中文简化字，若有不同文本，以中文简化字文本为准。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7.2.2响应文件提供的全部资料中，若属于非中文描述的，应同时提供中文简化字译本。</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7.2.3除在</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文件的要求中另有规定外，响应文件计量单位应使用中华人民共和国法定计量单位。</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8.响应文件的组成</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 响应文件包括商务部分和技术部分。</w:t>
      </w:r>
    </w:p>
    <w:p>
      <w:pPr>
        <w:topLinePunct/>
        <w:autoSpaceDE w:val="0"/>
        <w:autoSpaceDN w:val="0"/>
        <w:adjustRightInd w:val="0"/>
        <w:snapToGrid w:val="0"/>
        <w:spacing w:line="360" w:lineRule="auto"/>
        <w:ind w:firstLine="428" w:firstLineChars="20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 响应文件</w:t>
      </w:r>
      <w:r>
        <w:rPr>
          <w:rFonts w:hint="eastAsia" w:ascii="宋体" w:hAnsi="宋体" w:cs="宋体"/>
          <w:b/>
          <w:bCs/>
          <w:color w:val="000000" w:themeColor="text1"/>
          <w:szCs w:val="21"/>
          <w14:textFill>
            <w14:solidFill>
              <w14:schemeClr w14:val="tx1"/>
            </w14:solidFill>
          </w14:textFill>
        </w:rPr>
        <w:t>商务部分</w:t>
      </w:r>
      <w:r>
        <w:rPr>
          <w:rFonts w:hint="eastAsia" w:ascii="宋体" w:hAnsi="宋体" w:cs="宋体"/>
          <w:color w:val="000000" w:themeColor="text1"/>
          <w:szCs w:val="21"/>
          <w14:textFill>
            <w14:solidFill>
              <w14:schemeClr w14:val="tx1"/>
            </w14:solidFill>
          </w14:textFill>
        </w:rPr>
        <w:t>主要包括的文件和资料：</w:t>
      </w:r>
    </w:p>
    <w:p>
      <w:pPr>
        <w:topLinePunct/>
        <w:autoSpaceDE w:val="0"/>
        <w:autoSpaceDN w:val="0"/>
        <w:adjustRightInd w:val="0"/>
        <w:snapToGrid w:val="0"/>
        <w:spacing w:line="360" w:lineRule="auto"/>
        <w:ind w:firstLine="428" w:firstLineChars="20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8.2.1资格证明文件，见</w:t>
      </w:r>
      <w:r>
        <w:rPr>
          <w:rFonts w:hint="eastAsia" w:ascii="宋体" w:hAnsi="宋体" w:cs="宋体"/>
          <w:b/>
          <w:color w:val="000000" w:themeColor="text1"/>
          <w:szCs w:val="21"/>
          <w14:textFill>
            <w14:solidFill>
              <w14:schemeClr w14:val="tx1"/>
            </w14:solidFill>
          </w14:textFill>
        </w:rPr>
        <w:t>供应商须知前附表。</w:t>
      </w:r>
    </w:p>
    <w:p>
      <w:pPr>
        <w:overflowPunct w:val="0"/>
        <w:autoSpaceDE w:val="0"/>
        <w:autoSpaceDN w:val="0"/>
        <w:adjustRightInd w:val="0"/>
        <w:snapToGrid w:val="0"/>
        <w:spacing w:line="360" w:lineRule="auto"/>
        <w:ind w:firstLine="426" w:firstLine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8.2.2其他文件及资料，见</w:t>
      </w:r>
      <w:r>
        <w:rPr>
          <w:rFonts w:hint="eastAsia" w:ascii="宋体" w:hAnsi="宋体" w:cs="宋体"/>
          <w:b/>
          <w:color w:val="000000" w:themeColor="text1"/>
          <w:szCs w:val="21"/>
          <w14:textFill>
            <w14:solidFill>
              <w14:schemeClr w14:val="tx1"/>
            </w14:solidFill>
          </w14:textFill>
        </w:rPr>
        <w:t>供应商须知前附表。</w:t>
      </w:r>
    </w:p>
    <w:p>
      <w:pPr>
        <w:overflowPunct w:val="0"/>
        <w:autoSpaceDE w:val="0"/>
        <w:autoSpaceDN w:val="0"/>
        <w:adjustRightInd w:val="0"/>
        <w:snapToGrid w:val="0"/>
        <w:spacing w:line="360" w:lineRule="auto"/>
        <w:ind w:firstLine="426" w:firstLine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 响应文件</w:t>
      </w:r>
      <w:r>
        <w:rPr>
          <w:rFonts w:hint="eastAsia" w:ascii="宋体" w:hAnsi="宋体" w:cs="宋体"/>
          <w:b/>
          <w:bCs/>
          <w:color w:val="000000" w:themeColor="text1"/>
          <w:szCs w:val="21"/>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主要包括的文件及资料，见</w:t>
      </w:r>
      <w:r>
        <w:rPr>
          <w:rFonts w:hint="eastAsia" w:ascii="宋体" w:hAnsi="宋体" w:cs="宋体"/>
          <w:b/>
          <w:color w:val="000000" w:themeColor="text1"/>
          <w:szCs w:val="21"/>
          <w14:textFill>
            <w14:solidFill>
              <w14:schemeClr w14:val="tx1"/>
            </w14:solidFill>
          </w14:textFill>
        </w:rPr>
        <w:t>供应商须知前附表。</w:t>
      </w:r>
    </w:p>
    <w:p>
      <w:pPr>
        <w:overflowPunct w:val="0"/>
        <w:autoSpaceDE w:val="0"/>
        <w:autoSpaceDN w:val="0"/>
        <w:adjustRightInd w:val="0"/>
        <w:snapToGrid w:val="0"/>
        <w:spacing w:line="360" w:lineRule="auto"/>
        <w:ind w:firstLine="426" w:firstLine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 证明资料如标明有效期的，必须在有效期内。</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9.报价要求</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9.1除磋商文件另有规定外，应以人民币报价。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9.2本项目不接受任何形式的赠送、“零”报价和折扣报价。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9.3本项目以磋商总报价为依据计算价格分。磋商总报价应包括磋商文件中要求供应商承担所有工作内容的全部费用。</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9.5最低报价不能作为成交的保证。</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9.6供应商的报价不得超过采购项目预算。</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10.响应文件的书写、密封、签署、盖章</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10.1书写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10.1.1响应文件应使用不能擦去的墨料或墨水打印、书写。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10.1.2响应文件内容应没有涂改或行间插字。若有前述改动，在改动处应由单位负责人（授权代表）签字确认或加盖供应商的单位公章。</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10.2密封</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10.2.1响应文件应胶装或装订成册，避免材料散装、脱落。</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10.2.2响应文件应使用不透明的牛皮纸或档案袋等材料密封包装，并在外包装封面注明“项目编号、项目名称、供应商名称、响应文件启封时间”等信息，避免响应文件被误拆或提前拆封。响应文件正本应按上述要求制作。副本可按上述要求制作，也可用正本的完整复印件，并与正本保持一致（若不一致，以正本为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10.3签署、盖章</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10.3.1响应文件中要求签字处应由供应商的单位负责人（授权代表）签字。</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10.3.2响应文件必须按照</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文件给出文件格式的签署要求进行签署。</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10.3.3供应商在</w:t>
      </w:r>
      <w:r>
        <w:rPr>
          <w:rFonts w:hint="eastAsia" w:ascii="宋体" w:hAnsi="宋体" w:cs="宋体"/>
          <w:b/>
          <w:bCs/>
          <w:color w:val="000000" w:themeColor="text1"/>
          <w:szCs w:val="21"/>
          <w14:textFill>
            <w14:solidFill>
              <w14:schemeClr w14:val="tx1"/>
            </w14:solidFill>
          </w14:textFill>
        </w:rPr>
        <w:t>“磋商响应函”“法定代表人授权委托书”</w:t>
      </w:r>
      <w:r>
        <w:rPr>
          <w:rFonts w:hint="eastAsia" w:ascii="宋体" w:hAnsi="宋体" w:cs="宋体"/>
          <w:color w:val="000000" w:themeColor="text1"/>
          <w:szCs w:val="21"/>
          <w14:textFill>
            <w14:solidFill>
              <w14:schemeClr w14:val="tx1"/>
            </w14:solidFill>
          </w14:textFill>
        </w:rPr>
        <w:t>上应当按格式要求加盖与供应商名称全称一致的标准公章，并按照磋商文件第五章响应文件格式中的相应格式文件要求签署全名。</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10.3.4响应文件中的“盖章”指加盖供应商的“公章”，而非“合同专用章”、“投标专用章”等其他非公章。</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响应有效期</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11.1响应有效期见</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在此期间，响应文件对供应商具有法律约束力，以保证采购人或者采购代理机构有足够的时间完成磋商、评审、定标以及签订合同。响应文件中承诺的响应有效期应当不少于磋商文件中载明的响应有效期，否则作为无效响应处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11.2特殊情况下，在原响应有效期期满之前，采购人或者采购代理机构可征得供应商同意延长响应有效期。</w:t>
      </w:r>
    </w:p>
    <w:p>
      <w:pPr>
        <w:pStyle w:val="3"/>
        <w:ind w:firstLine="422" w:firstLineChars="200"/>
        <w:rPr>
          <w:rFonts w:ascii="宋体" w:hAnsi="宋体" w:eastAsia="宋体" w:cs="宋体"/>
          <w:color w:val="000000" w:themeColor="text1"/>
          <w14:textFill>
            <w14:solidFill>
              <w14:schemeClr w14:val="tx1"/>
            </w14:solidFill>
          </w14:textFill>
        </w:rPr>
      </w:pPr>
      <w:bookmarkStart w:id="26" w:name="_Toc23689"/>
      <w:r>
        <w:rPr>
          <w:rFonts w:hint="eastAsia" w:ascii="宋体" w:hAnsi="宋体" w:eastAsia="宋体" w:cs="宋体"/>
          <w:color w:val="000000" w:themeColor="text1"/>
          <w:sz w:val="21"/>
          <w:szCs w:val="21"/>
          <w14:textFill>
            <w14:solidFill>
              <w14:schemeClr w14:val="tx1"/>
            </w14:solidFill>
          </w14:textFill>
        </w:rPr>
        <w:t>四、响应文件递交</w:t>
      </w:r>
      <w:bookmarkEnd w:id="26"/>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响应文件递交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12.1供应商应当在</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要求递交响应文件截止时间前，根据《供应商须知前附表》载明方式递交响应文件。递交响应文件截止时间后，递交响应文件的将被拒绝。</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响应文件补充、修改或撤回</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供应商在提交响应文件截止时间前，可以对所提交的响应文件进行补充、修改或者撤回，并书面通知采购人、采购代理机构。补充、修改的内容应当按照磋商文件要求签署、盖章、密封后，作为响应文件的组成部分。</w:t>
      </w:r>
    </w:p>
    <w:p>
      <w:pPr>
        <w:widowControl/>
        <w:topLinePunct/>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13.2提交响应文件截止时间后，不支持对已提交的响应文件做任何补充、修改或者撤回。</w:t>
      </w:r>
    </w:p>
    <w:p>
      <w:pPr>
        <w:pStyle w:val="3"/>
        <w:ind w:firstLine="422" w:firstLineChars="200"/>
        <w:rPr>
          <w:rFonts w:ascii="宋体" w:hAnsi="宋体" w:eastAsia="宋体" w:cs="宋体"/>
          <w:color w:val="000000" w:themeColor="text1"/>
          <w14:textFill>
            <w14:solidFill>
              <w14:schemeClr w14:val="tx1"/>
            </w14:solidFill>
          </w14:textFill>
        </w:rPr>
      </w:pPr>
      <w:bookmarkStart w:id="27" w:name="_Toc28284"/>
      <w:r>
        <w:rPr>
          <w:rFonts w:hint="eastAsia" w:ascii="宋体" w:hAnsi="宋体" w:eastAsia="宋体" w:cs="宋体"/>
          <w:color w:val="000000" w:themeColor="text1"/>
          <w:sz w:val="21"/>
          <w:szCs w:val="21"/>
          <w14:textFill>
            <w14:solidFill>
              <w14:schemeClr w14:val="tx1"/>
            </w14:solidFill>
          </w14:textFill>
        </w:rPr>
        <w:t>五、磋商与评审</w:t>
      </w:r>
      <w:bookmarkEnd w:id="27"/>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14.磋商小组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14.1磋商与评审由依法组建的磋商小组负责，磋商小组由采购人代表和评审专家组成。</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14.2评审专家应当遵守评审工作纪律，不得泄露评审情况和评审中获悉的商业秘密。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14.3磋商小组成员应当按照客观、公正、审慎的原则，根据磋商文件规定的评审程序、评审方法和评审标准进行独立评审。</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15.初步审查</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（1）供应商未按照磋商文件规定提交磋商保证金的；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（2）未按照磋商文件规定要求密封、签署、盖章的；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（3）响应有效期不足的；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（4）供应商不满足磋商文件供应商资格条件或未按照磋商文件规定提供资格证明材料的；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（6）供应商存在失信记录的：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失信记录是指，通过“信用中国”网站（www.creditchina.gov.cn）、中国政府采购网（www.ccgp.gov.cn）查询相关主体信用记录，列入失信被执行人、重大税收违法案件当事人名单、政府采购严重违法失信行为记录名单的情况。失信情况查询详见供应商须知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（7）其他不符合法律、规章、规范性文件和磋商文件规定的。</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16.澄清</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16.1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16.2供应商的澄清、说明或者更正应当采用书面形式，由其法定代表人或其授权代表签字，供应商的澄清、说明或者更正不得超出磋商文件的范围或者改变响应文件的实质性内容。</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16.3关于响应描述（即响应文件中描述的内容）</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（1）响应描述前后不一致且不涉及证明材料的：按照本节第16.1条、16.2条规定执行。</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（2）响应描述与证明材料不一致或多份证明材料之间不一致的：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①磋商小组将要求供应商进行书面澄清，无法澄清的将按照不利于供应商的内容进行评审。</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16.4除磋商小组要求供应商做出的澄清、说明或者补正以外，磋商小组不接受供应商的任何询问、说明、更改及文件。</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16.5供应商的澄清必须在规定的时间内提交。</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17.磋商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17.1初审结束后，磋商小组所有成员集中与单一供应商分别进行磋商，并给予所有参加磋商的供应商平等的磋商机会。供应商应派其法定代表人或授权代表参加磋商。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17.2磋商过程中，磋商小组可以根据磋商文件和磋商情况实质性变动采购需求中的技术、服务要求以及合同草案条款，但不得变动磋商文件中的其他内容。实质性变动的内容，须经采购人代表确认。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17.3对磋商文件作出的实质性变动是磋商文件的有效组成部分，磋商小组应当及时以书面形式同时通知所有参加磋商的供应商。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17.5磋商文件不能详细列明采购标的技术、服务要求，需经磋商由供应商提供最终设计方案或解决方案的，磋商结束后，磋商小组应当按照少数服从多数的原则投票推荐3家以上供应商的设计方案或者解决方案。</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17.6磋商小组应当根据实际情况与供应商进行磋商，并确定磋商的轮次。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17.7已提交响应文件的供应商，在提交最后报价之前，可以根据磋商情况退出磋商。采购人或采购代理机构应当退还退出磋商的供应商的磋商保证金。</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17.8磋商结束后，供应商按照磋商小组要求重新提交的响应文件，不满足磋商文件及变动后的技术、服务要求以及合同草案条款的实质性要求的，将视为无效响应文件。</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18.最后报价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　磋商结束后，磋商小组应当要求所有实质性响应的供应商在规定时间内提交最后报价，提交最后报价的供应商原则上不得少于3家。</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　最后报价是供应商响应文件的有效组成部分。如磋商小组没有对磋商文件作实质性变动或增加新的需求，最后报价不得高于首轮报价。</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19.最后报价评审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19.1最后报价计算错误修正的原则</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（1）最后报价的大写金额和小写金额不一致的，以大写金额为准。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（2）总价金额与按分项报价汇总金额不一致的，以分项报价金额计算结果为准。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（3）分项报价金额小数点有明显错位的，应以总价为准，并修改分项报价。</w:t>
      </w:r>
    </w:p>
    <w:p>
      <w:pPr>
        <w:overflowPunct w:val="0"/>
        <w:autoSpaceDE w:val="0"/>
        <w:autoSpaceDN w:val="0"/>
        <w:adjustRightInd w:val="0"/>
        <w:snapToGrid w:val="0"/>
        <w:spacing w:line="360" w:lineRule="auto"/>
        <w:ind w:firstLine="319" w:firstLineChars="15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（4）同时出现两种以上不一致的，按照前款规定的顺序修正。 </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（5）如果供应商不接受对其错误的更正，其最后报价将被视为无效报价或确定为无效响应。</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19.2磋商报价得分：以供应商的最后报价作为价格评分依据。供应商的评审价为按上述条款修正后的价格。</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价格评分统一采用低价优先法计算，即满足磋商文件要求且价格最低的评审价为评审基准价，其价格分为满分。其他供应商的价格分统一按照下列公式计算：</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磋商报价得分=（磋商基准价/最后磋商报价）×价格满分值</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20.综合评审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20.1经磋商确定最终采购需求和提交最后报价的供应商后，由磋商小组采用综合评分法对提交最后报价的供应商的响应文件和最后报价进行综合评分。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20.2评审办法及标准见第三章。</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20.3评审时，磋商小组成员应当独立对每个有效响应的文件进行评价、打分，然后汇总每个供应商每项评分因素的得分。</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21.提出成交供应商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21.1磋商小组应当按照综合评分由高到低的顺序提出3名以上成交候选供应商，并编写评审报告。21.2评审得分相同的，按照最后报价由低到高的顺序推荐。评审得分且最后报价相同的，按照技术指标优劣顺序推荐。</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22.磋商终止</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22.1出现下列情形之一的，采购人或者采购代理机构应当终止磋商采购活动，在财政部指定的媒体上发布项目终止公告并说明原因，重新开展采购活动：</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（1）因情况变化，不再符合规定的磋商采购方式适用情形的；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（2）出现影响采购公正的违法、违规行为的；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（3）因重大变故，采购任务取消的。</w:t>
      </w:r>
    </w:p>
    <w:p>
      <w:pPr>
        <w:pStyle w:val="3"/>
        <w:ind w:firstLine="422" w:firstLineChars="200"/>
        <w:rPr>
          <w:rFonts w:ascii="宋体" w:hAnsi="宋体" w:eastAsia="宋体" w:cs="宋体"/>
          <w:color w:val="000000" w:themeColor="text1"/>
          <w:sz w:val="21"/>
          <w:szCs w:val="21"/>
          <w14:textFill>
            <w14:solidFill>
              <w14:schemeClr w14:val="tx1"/>
            </w14:solidFill>
          </w14:textFill>
        </w:rPr>
      </w:pPr>
      <w:bookmarkStart w:id="28" w:name="_Toc21311"/>
      <w:r>
        <w:rPr>
          <w:rFonts w:hint="eastAsia" w:ascii="宋体" w:hAnsi="宋体" w:eastAsia="宋体" w:cs="宋体"/>
          <w:color w:val="000000" w:themeColor="text1"/>
          <w:sz w:val="21"/>
          <w:szCs w:val="21"/>
          <w14:textFill>
            <w14:solidFill>
              <w14:schemeClr w14:val="tx1"/>
            </w14:solidFill>
          </w14:textFill>
        </w:rPr>
        <w:t>六、成交和合同</w:t>
      </w:r>
      <w:bookmarkEnd w:id="28"/>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成交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23.1采购代理机构应当在评审结束后2个工作日内将评审报告送采购人确认。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23.3采购人或者采购代理机构应当在成交供应商确定后2个工作日内，在</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规定的媒体上公告成交结果，并将磋商文件随成交结果同时公告。</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23.4在公告成交结果的同时，采购人或者采购代理机构应当向成交供应商发出成交通知书</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23.5成交通知书对采购人和成交供应商具有同等法律效力。</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签订合同</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24.1采购人与成交供应商应当在成交通知书发出之日起30日内，按照磋商文件确定的合同文本以及采购标的、规格型号、采购金额、采购数量、技术和服务要求等事项签订采购合同。</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成交供应商拒绝签订采购合同的，采购人可以按照本章第23.2条规定的原则确定其他供应商作为成交供应商并签订采购合同，也可以重新开展采购活动。拒绝签订采购合同的成交供应商不得参加对该项目重新开展的采购活动。</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履约保证金</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25.1成交供应商按照</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的规定，在签订采购合同前，向采购人提交履约保证金。联合体成交的，履约保证金以联合体各方或联合体中牵头人的名义提交。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25.2成交供应商没有按照</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的规定提交履约保证金的，视为放弃成交资格，其磋商保证金不予退还。</w:t>
      </w:r>
    </w:p>
    <w:p>
      <w:pPr>
        <w:pStyle w:val="3"/>
        <w:ind w:firstLine="422" w:firstLineChars="200"/>
        <w:rPr>
          <w:rFonts w:ascii="宋体" w:hAnsi="宋体" w:eastAsia="宋体" w:cs="宋体"/>
          <w:color w:val="000000" w:themeColor="text1"/>
          <w:sz w:val="21"/>
          <w:szCs w:val="21"/>
          <w14:textFill>
            <w14:solidFill>
              <w14:schemeClr w14:val="tx1"/>
            </w14:solidFill>
          </w14:textFill>
        </w:rPr>
      </w:pPr>
      <w:bookmarkStart w:id="29" w:name="_Toc20370"/>
      <w:r>
        <w:rPr>
          <w:rFonts w:hint="eastAsia" w:ascii="宋体" w:hAnsi="宋体" w:eastAsia="宋体" w:cs="宋体"/>
          <w:color w:val="000000" w:themeColor="text1"/>
          <w:sz w:val="21"/>
          <w:szCs w:val="21"/>
          <w14:textFill>
            <w14:solidFill>
              <w14:schemeClr w14:val="tx1"/>
            </w14:solidFill>
          </w14:textFill>
        </w:rPr>
        <w:t>七、询问和质疑</w:t>
      </w:r>
      <w:bookmarkEnd w:id="29"/>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 询问</w:t>
      </w:r>
    </w:p>
    <w:p>
      <w:pPr>
        <w:topLinePunct/>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26.1潜在供应商、供应商对采购活动事项有疑问的，可以向采购人或者采购代理机构提出询问，采购人或者采购代理机构应当在3个工作日内对依法提出的询问作出答复，但答复的内容不得涉及商业秘密。</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质疑</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潜在供应商、供应商（统称质疑人）认为磋商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cs="宋体"/>
          <w:b/>
          <w:bCs/>
          <w:color w:val="000000" w:themeColor="text1"/>
          <w:szCs w:val="21"/>
          <w14:textFill>
            <w14:solidFill>
              <w14:schemeClr w14:val="tx1"/>
            </w14:solidFill>
          </w14:textFill>
        </w:rPr>
        <w:t>见</w:t>
      </w:r>
      <w:r>
        <w:rPr>
          <w:rFonts w:hint="eastAsia" w:ascii="宋体" w:hAnsi="宋体" w:cs="宋体"/>
          <w:b/>
          <w:color w:val="000000" w:themeColor="text1"/>
          <w:szCs w:val="21"/>
          <w14:textFill>
            <w14:solidFill>
              <w14:schemeClr w14:val="tx1"/>
            </w14:solidFill>
          </w14:textFill>
        </w:rPr>
        <w:t>供应商须知前附表</w:t>
      </w:r>
      <w:r>
        <w:rPr>
          <w:rFonts w:hint="eastAsia" w:ascii="宋体" w:hAnsi="宋体" w:cs="宋体"/>
          <w:color w:val="000000" w:themeColor="text1"/>
          <w:szCs w:val="21"/>
          <w14:textFill>
            <w14:solidFill>
              <w14:schemeClr w14:val="tx1"/>
            </w14:solidFill>
          </w14:textFill>
        </w:rPr>
        <w:t>。</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27.2在法定质疑期内，针对同一采购程序环节的质疑应一次性提出。</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27.3质疑人应知其权益受到损害之日，是指： </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（1）对可以质疑的磋商文件提出质疑的，为收到磋商文件之日或者磋商文件公告期限届满之日；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（2）对采购过程提出质疑的，为各采购程序环节结束之日；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（3）对成交结果提出质疑的，为成交结果公告期限届满之日。</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27.4质疑应当有明确的请求和必要的证明材料。供应商为自然人的，应当由本人签字；供应商为法人或者其他组织的，应当由法定代表人、主要负责人，或者其授权代表签字或者签章，并加盖公章。</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27.5采购人或者代理机构应当在收到供应商的质疑函后7个工作日内，对质疑内容作出答复，</w:t>
      </w:r>
      <w:r>
        <w:rPr>
          <w:rFonts w:hint="eastAsia" w:ascii="宋体" w:hAnsi="宋体" w:cs="宋体"/>
          <w:bCs/>
          <w:color w:val="000000" w:themeColor="text1"/>
          <w:szCs w:val="21"/>
          <w14:textFill>
            <w14:solidFill>
              <w14:schemeClr w14:val="tx1"/>
            </w14:solidFill>
          </w14:textFill>
        </w:rPr>
        <w:t>书面形式</w:t>
      </w:r>
      <w:r>
        <w:rPr>
          <w:rFonts w:hint="eastAsia" w:ascii="宋体" w:hAnsi="宋体" w:cs="宋体"/>
          <w:color w:val="000000" w:themeColor="text1"/>
          <w:szCs w:val="21"/>
          <w14:textFill>
            <w14:solidFill>
              <w14:schemeClr w14:val="tx1"/>
            </w14:solidFill>
          </w14:textFill>
        </w:rPr>
        <w:t>通知质疑供应商和其他有关供应商，但答复内容不得涉及商业秘密。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27.6质疑人对采购人、采购代理机构的答复不满意或者采购人、采购代理机构未在规定的时间内作出答复的，可以在答复期满后15个工作日内向采购人监督部门投诉。</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27.7投诉应当有明确的请求和必要的证明材料。投诉的事项不得超出已质疑事项的范围。</w:t>
      </w:r>
    </w:p>
    <w:p>
      <w:pPr>
        <w:pStyle w:val="3"/>
        <w:ind w:firstLine="422" w:firstLineChars="200"/>
        <w:rPr>
          <w:rFonts w:ascii="宋体" w:hAnsi="宋体" w:eastAsia="宋体" w:cs="宋体"/>
          <w:color w:val="000000" w:themeColor="text1"/>
          <w:sz w:val="21"/>
          <w:szCs w:val="21"/>
          <w14:textFill>
            <w14:solidFill>
              <w14:schemeClr w14:val="tx1"/>
            </w14:solidFill>
          </w14:textFill>
        </w:rPr>
      </w:pPr>
      <w:bookmarkStart w:id="30" w:name="_Toc11125"/>
      <w:r>
        <w:rPr>
          <w:rFonts w:hint="eastAsia" w:ascii="宋体" w:hAnsi="宋体" w:eastAsia="宋体" w:cs="宋体"/>
          <w:color w:val="000000" w:themeColor="text1"/>
          <w:sz w:val="21"/>
          <w:szCs w:val="21"/>
          <w14:textFill>
            <w14:solidFill>
              <w14:schemeClr w14:val="tx1"/>
            </w14:solidFill>
          </w14:textFill>
        </w:rPr>
        <w:t>八、其他</w:t>
      </w:r>
      <w:bookmarkEnd w:id="30"/>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保密</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28.1采购人、采购代理机构应当按照本办法的规定组织开展磋商，并采取必要措施，保证磋商在严格保密的情况下进行。任何单位和个人不得非法干预、影响磋商过程和结果。</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28.2磋商小组成员和参与评审工作的有关人员对评审情况以及在评审过程中获悉的国家秘密、商业秘密负有保密责任。</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 知识产权与规避专利、版权纠纷</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29.1知识产权</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29.1.1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29.2规避专利、版权纠纷</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29.2.1供应商应保证其响应方案中的有关软件、文件、图纸等没有违反有关专利和版权等知识产权的规定。</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29.2.2成交供应商应保证采购人在中华人民共和国使用本项目成果任何一部分、或接受乙方服务时，免受第三方提出的侵犯其专利权、商标权或工业设计权等知识产权的索赔或起诉。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29.2.3如果采购人在使用本项目任何一部分时被任何第三方诉称侵犯了第三方知识产权或任何其他权利，成交供应商应负责处理这一指控并应以成交供应商的名义自负费用向起诉方提出抗辩。由此可能产生的一切法律责任和经济责任均由成交供应商承担。</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29.2.4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spacing w:line="360" w:lineRule="auto"/>
        <w:rPr>
          <w:rFonts w:ascii="宋体" w:hAnsi="宋体" w:cs="宋体"/>
          <w:color w:val="000000" w:themeColor="text1"/>
          <w:szCs w:val="2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2"/>
        <w:jc w:val="center"/>
        <w:rPr>
          <w:rFonts w:hint="default" w:cs="宋体"/>
          <w:color w:val="000000" w:themeColor="text1"/>
          <w:sz w:val="30"/>
          <w:szCs w:val="30"/>
          <w14:textFill>
            <w14:solidFill>
              <w14:schemeClr w14:val="tx1"/>
            </w14:solidFill>
          </w14:textFill>
        </w:rPr>
      </w:pPr>
      <w:bookmarkStart w:id="31" w:name="_Toc29484"/>
      <w:r>
        <w:rPr>
          <w:rFonts w:cs="宋体"/>
          <w:color w:val="000000" w:themeColor="text1"/>
          <w:sz w:val="30"/>
          <w:szCs w:val="30"/>
          <w14:textFill>
            <w14:solidFill>
              <w14:schemeClr w14:val="tx1"/>
            </w14:solidFill>
          </w14:textFill>
        </w:rPr>
        <w:t>第三章  评审方法及标准</w:t>
      </w:r>
      <w:bookmarkEnd w:id="31"/>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1.评审方法</w:t>
      </w:r>
    </w:p>
    <w:p>
      <w:pPr>
        <w:widowControl/>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本项目评审方法：</w:t>
      </w:r>
      <w:r>
        <w:rPr>
          <w:rFonts w:hint="eastAsia" w:ascii="宋体" w:hAnsi="宋体" w:cs="宋体"/>
          <w:b/>
          <w:color w:val="000000" w:themeColor="text1"/>
          <w:szCs w:val="21"/>
          <w:u w:val="single"/>
          <w14:textFill>
            <w14:solidFill>
              <w14:schemeClr w14:val="tx1"/>
            </w14:solidFill>
          </w14:textFill>
        </w:rPr>
        <w:t>采用综合评分法</w:t>
      </w:r>
    </w:p>
    <w:p>
      <w:pPr>
        <w:topLinePunct/>
        <w:autoSpaceDE w:val="0"/>
        <w:autoSpaceDN w:val="0"/>
        <w:adjustRightInd w:val="0"/>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2.评分标准</w:t>
      </w:r>
    </w:p>
    <w:p>
      <w:pPr>
        <w:pStyle w:val="29"/>
        <w:widowControl w:val="0"/>
        <w:spacing w:line="360" w:lineRule="auto"/>
        <w:ind w:firstLine="420" w:firstLineChars="200"/>
        <w:jc w:val="both"/>
        <w:rPr>
          <w:rFonts w:hint="default"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2.1 本项目</w:t>
      </w:r>
      <w:r>
        <w:rPr>
          <w:rFonts w:ascii="宋体" w:hAnsi="宋体" w:cs="宋体"/>
          <w:b/>
          <w:color w:val="000000" w:themeColor="text1"/>
          <w:sz w:val="21"/>
          <w:szCs w:val="21"/>
          <w:u w:val="single"/>
          <w14:textFill>
            <w14:solidFill>
              <w14:schemeClr w14:val="tx1"/>
            </w14:solidFill>
          </w14:textFill>
        </w:rPr>
        <w:t>采用百分制综合评分法</w:t>
      </w:r>
      <w:r>
        <w:rPr>
          <w:rFonts w:ascii="宋体" w:hAnsi="宋体" w:cs="宋体"/>
          <w:color w:val="000000" w:themeColor="text1"/>
          <w:sz w:val="21"/>
          <w:szCs w:val="21"/>
          <w14:textFill>
            <w14:solidFill>
              <w14:schemeClr w14:val="tx1"/>
            </w14:solidFill>
          </w14:textFill>
        </w:rPr>
        <w:t>进行评分，综合评分法是指响应文件满足磋商文件全部实质性要求，且按照评审因素的量化指标评审得分最高的供应商为成交候选供应商的评审方法。评审因素主要内容如下表。</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本项目价格分值为</w:t>
      </w:r>
      <w:r>
        <w:rPr>
          <w:rFonts w:hint="eastAsia"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分，其余评审因素分值为</w:t>
      </w:r>
      <w:r>
        <w:rPr>
          <w:rFonts w:hint="eastAsia" w:ascii="宋体" w:hAnsi="宋体" w:cs="宋体"/>
          <w:color w:val="000000" w:themeColor="text1"/>
          <w:szCs w:val="21"/>
          <w:u w:val="single"/>
          <w14:textFill>
            <w14:solidFill>
              <w14:schemeClr w14:val="tx1"/>
            </w14:solidFill>
          </w14:textFill>
        </w:rPr>
        <w:t>80</w:t>
      </w:r>
      <w:r>
        <w:rPr>
          <w:rFonts w:hint="eastAsia" w:ascii="宋体" w:hAnsi="宋体" w:cs="宋体"/>
          <w:color w:val="000000" w:themeColor="text1"/>
          <w:szCs w:val="21"/>
          <w14:textFill>
            <w14:solidFill>
              <w14:schemeClr w14:val="tx1"/>
            </w14:solidFill>
          </w14:textFill>
        </w:rPr>
        <w:t>分。评审标准如下表：</w:t>
      </w:r>
    </w:p>
    <w:tbl>
      <w:tblPr>
        <w:tblStyle w:val="1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500"/>
        <w:gridCol w:w="1576"/>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45" w:type="dxa"/>
            <w:gridSpan w:val="2"/>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6029"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p>
        </w:tc>
        <w:tc>
          <w:tcPr>
            <w:tcW w:w="1500"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价格分</w:t>
            </w:r>
          </w:p>
          <w:p>
            <w:pPr>
              <w:spacing w:line="4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u w:val="single"/>
                <w14:textFill>
                  <w14:solidFill>
                    <w14:schemeClr w14:val="tx1"/>
                  </w14:solidFill>
                </w14:textFill>
              </w:rPr>
              <w:t>20</w:t>
            </w:r>
            <w:r>
              <w:rPr>
                <w:rFonts w:hint="eastAsia" w:ascii="宋体" w:hAnsi="宋体" w:cs="宋体"/>
                <w:color w:val="000000" w:themeColor="text1"/>
                <w14:textFill>
                  <w14:solidFill>
                    <w14:schemeClr w14:val="tx1"/>
                  </w14:solidFill>
                </w14:textFill>
              </w:rPr>
              <w:t>分）</w:t>
            </w:r>
          </w:p>
        </w:tc>
        <w:tc>
          <w:tcPr>
            <w:tcW w:w="1576" w:type="dxa"/>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响应报价</w:t>
            </w:r>
          </w:p>
          <w:p>
            <w:pPr>
              <w:spacing w:line="400" w:lineRule="exact"/>
              <w:jc w:val="center"/>
              <w:textAlignment w:val="baseline"/>
              <w:rPr>
                <w:rFonts w:ascii="宋体" w:hAnsi="宋体" w:cs="宋体"/>
                <w:color w:val="000000" w:themeColor="text1"/>
                <w14:textFill>
                  <w14:solidFill>
                    <w14:schemeClr w14:val="tx1"/>
                  </w14:solidFill>
                </w14:textFill>
              </w:rPr>
            </w:pPr>
          </w:p>
        </w:tc>
        <w:tc>
          <w:tcPr>
            <w:tcW w:w="6029" w:type="dxa"/>
            <w:vAlign w:val="center"/>
          </w:tcPr>
          <w:p>
            <w:pPr>
              <w:pStyle w:val="10"/>
              <w:numPr>
                <w:ilvl w:val="255"/>
                <w:numId w:val="0"/>
              </w:numPr>
              <w:spacing w:line="360" w:lineRule="auto"/>
              <w:rPr>
                <w:rFonts w:hAnsi="宋体" w:cs="宋体"/>
              </w:rPr>
            </w:pPr>
            <w:r>
              <w:rPr>
                <w:rFonts w:hint="eastAsia" w:hAnsi="宋体" w:cs="宋体"/>
              </w:rPr>
              <w:t>评审价为供应商的最后报价进行政策性扣除后的价格，评审价只是作为评审时使用，不作为本项目的实际结算金额。</w:t>
            </w:r>
          </w:p>
          <w:p>
            <w:pPr>
              <w:pStyle w:val="10"/>
              <w:spacing w:line="360" w:lineRule="auto"/>
              <w:rPr>
                <w:rFonts w:hAnsi="宋体" w:cs="宋体"/>
              </w:rPr>
            </w:pPr>
            <w:r>
              <w:rPr>
                <w:rFonts w:hint="eastAsia" w:hAnsi="宋体" w:cs="宋体"/>
              </w:rPr>
              <w:t>（2）政策性扣除计算方法：</w:t>
            </w:r>
          </w:p>
          <w:p>
            <w:pPr>
              <w:pStyle w:val="10"/>
              <w:spacing w:line="360" w:lineRule="auto"/>
              <w:rPr>
                <w:rFonts w:hAnsi="宋体" w:cs="宋体"/>
              </w:rPr>
            </w:pPr>
            <w:r>
              <w:rPr>
                <w:rFonts w:hint="eastAsia" w:hAnsi="宋体" w:cs="宋体"/>
              </w:rPr>
              <w:t>对小型企业、微型企业、监狱企业以及残疾人福利性单位，在评审时按供应商须知前附表的规定对其最后报价给予价格扣除。小微企业须在响应文件中提供《中小企业声明函》(格式见“第五章　响应文件格式”)，监狱企业在磋商文件中应当提供由省级以上监狱管理局、戒毒管理局（含新疆生产建设兵团）出具的属于监狱企业的证明文件，残疾人福利性单位在响应文件中应当提供《残疾人福利性单位声明函》(格式见“第五章　响应文件格式”)，否则在评审时将不给予价格扣除。（供应商如能够在线查询的材料，请提供查询网址链接，可以不用同时提供纸质材料。）</w:t>
            </w:r>
          </w:p>
          <w:p>
            <w:pPr>
              <w:pStyle w:val="10"/>
              <w:spacing w:line="360" w:lineRule="auto"/>
              <w:rPr>
                <w:rFonts w:hAnsi="宋体" w:cs="宋体"/>
              </w:rPr>
            </w:pPr>
            <w:r>
              <w:rPr>
                <w:rFonts w:hint="eastAsia" w:hAnsi="宋体" w:cs="宋体"/>
              </w:rPr>
              <w:t>注：残疾人福利性单位、监狱企业属于小型、微型企业的，不重复享受政策。</w:t>
            </w:r>
          </w:p>
          <w:p>
            <w:pPr>
              <w:pStyle w:val="10"/>
              <w:spacing w:line="360" w:lineRule="auto"/>
              <w:rPr>
                <w:rFonts w:hAnsi="宋体" w:cs="宋体"/>
              </w:rPr>
            </w:pPr>
            <w:r>
              <w:rPr>
                <w:rFonts w:hint="eastAsia" w:hAnsi="宋体" w:cs="宋体"/>
              </w:rPr>
              <w:t>根据供应商在其响应文件中提供《中小企业声明函》，且其磋商全部服务由符合政策要求的小微企业承接的，对供应商的最后报价给予15%的扣除，扣除后的价格为评审价，即评审价=最后报价×（1-15%）。</w:t>
            </w:r>
          </w:p>
          <w:p>
            <w:pPr>
              <w:pStyle w:val="10"/>
              <w:numPr>
                <w:ilvl w:val="255"/>
                <w:numId w:val="0"/>
              </w:numPr>
              <w:spacing w:line="360" w:lineRule="auto"/>
              <w:rPr>
                <w:rFonts w:hAnsi="宋体" w:cs="宋体"/>
              </w:rPr>
            </w:pPr>
            <w:r>
              <w:rPr>
                <w:rFonts w:hint="eastAsia" w:hAnsi="宋体" w:cs="宋体"/>
              </w:rPr>
              <w:t>以进入详评的总价最低的评审价为评审基准价，即指满足磋商文件要求且价格最低的最后报价。</w:t>
            </w:r>
          </w:p>
          <w:p>
            <w:pPr>
              <w:pStyle w:val="10"/>
              <w:numPr>
                <w:ilvl w:val="255"/>
                <w:numId w:val="0"/>
              </w:numPr>
              <w:spacing w:line="360" w:lineRule="auto"/>
              <w:rPr>
                <w:rFonts w:hAnsi="宋体" w:cs="宋体"/>
                <w:b/>
              </w:rPr>
            </w:pPr>
            <w:r>
              <w:rPr>
                <w:rFonts w:hint="eastAsia" w:hAnsi="宋体" w:cs="宋体"/>
                <w:b/>
              </w:rPr>
              <w:t>价格分计算公式</w:t>
            </w:r>
          </w:p>
          <w:p>
            <w:pPr>
              <w:pStyle w:val="10"/>
              <w:numPr>
                <w:ilvl w:val="255"/>
                <w:numId w:val="0"/>
              </w:numPr>
              <w:spacing w:line="360" w:lineRule="auto"/>
              <w:rPr>
                <w:rFonts w:hAnsi="宋体"/>
                <w:bCs/>
                <w:color w:val="000000" w:themeColor="text1"/>
                <w14:textFill>
                  <w14:solidFill>
                    <w14:schemeClr w14:val="tx1"/>
                  </w14:solidFill>
                </w14:textFill>
              </w:rPr>
            </w:pPr>
            <w:r>
              <w:rPr>
                <w:rFonts w:hint="eastAsia" w:hAnsi="宋体" w:cs="宋体"/>
                <w:b/>
              </w:rPr>
              <w:t>某供应商价格分=（评审基准价/某供应商评审价）×20分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w:t>
            </w:r>
          </w:p>
        </w:tc>
        <w:tc>
          <w:tcPr>
            <w:tcW w:w="1500" w:type="dxa"/>
            <w:vMerge w:val="restart"/>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技术分</w:t>
            </w:r>
          </w:p>
          <w:p>
            <w:pPr>
              <w:spacing w:line="400" w:lineRule="exact"/>
              <w:jc w:val="center"/>
              <w:textAlignment w:val="baseline"/>
              <w:rPr>
                <w:rFonts w:ascii="宋体" w:hAnsi="宋体" w:cs="宋体"/>
                <w:color w:val="000000" w:themeColor="text1"/>
                <w:spacing w:val="-18"/>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u w:val="single"/>
                <w14:textFill>
                  <w14:solidFill>
                    <w14:schemeClr w14:val="tx1"/>
                  </w14:solidFill>
                </w14:textFill>
              </w:rPr>
              <w:t>40</w:t>
            </w:r>
            <w:r>
              <w:rPr>
                <w:rFonts w:hint="eastAsia" w:ascii="宋体" w:hAnsi="宋体" w:cs="宋体"/>
                <w:bCs/>
                <w:color w:val="000000" w:themeColor="text1"/>
                <w14:textFill>
                  <w14:solidFill>
                    <w14:schemeClr w14:val="tx1"/>
                  </w14:solidFill>
                </w14:textFill>
              </w:rPr>
              <w:t>分）</w:t>
            </w: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rPr>
              <w:t>体检环境</w:t>
            </w: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u w:val="single"/>
                <w14:textFill>
                  <w14:solidFill>
                    <w14:schemeClr w14:val="tx1"/>
                  </w14:solidFill>
                </w14:textFill>
              </w:rPr>
              <w:t>10</w:t>
            </w:r>
            <w:r>
              <w:rPr>
                <w:rFonts w:hint="eastAsia" w:ascii="宋体" w:hAnsi="宋体" w:cs="宋体"/>
                <w:color w:val="000000" w:themeColor="text1"/>
                <w14:textFill>
                  <w14:solidFill>
                    <w14:schemeClr w14:val="tx1"/>
                  </w14:solidFill>
                </w14:textFill>
              </w:rPr>
              <w:t>分）</w:t>
            </w:r>
          </w:p>
        </w:tc>
        <w:tc>
          <w:tcPr>
            <w:tcW w:w="6029" w:type="dxa"/>
            <w:vAlign w:val="center"/>
          </w:tcPr>
          <w:p>
            <w:pPr>
              <w:spacing w:line="380" w:lineRule="exact"/>
              <w:ind w:firstLine="420" w:firstLineChars="200"/>
              <w:rPr>
                <w:rFonts w:ascii="宋体" w:hAnsi="宋体" w:cs="宋体"/>
              </w:rPr>
            </w:pPr>
            <w:r>
              <w:rPr>
                <w:rFonts w:hint="eastAsia" w:ascii="宋体" w:hAnsi="宋体"/>
              </w:rPr>
              <w:t>磋商小组根据磋商文件要求，对各供应商提供的“</w:t>
            </w:r>
            <w:r>
              <w:rPr>
                <w:rFonts w:hint="eastAsia" w:ascii="宋体" w:hAnsi="宋体" w:cs="宋体"/>
              </w:rPr>
              <w:t>体检环境</w:t>
            </w:r>
            <w:r>
              <w:rPr>
                <w:rFonts w:hint="eastAsia" w:ascii="宋体" w:hAnsi="宋体"/>
              </w:rPr>
              <w:t>”内容进行打分：</w:t>
            </w:r>
          </w:p>
          <w:p>
            <w:pPr>
              <w:spacing w:line="380" w:lineRule="exact"/>
              <w:ind w:firstLine="420" w:firstLineChars="200"/>
              <w:rPr>
                <w:rFonts w:ascii="宋体" w:hAnsi="宋体" w:cs="宋体"/>
              </w:rPr>
            </w:pPr>
            <w:r>
              <w:rPr>
                <w:rFonts w:hint="eastAsia" w:ascii="宋体" w:hAnsi="宋体" w:cs="宋体"/>
              </w:rPr>
              <w:t>一档（3分）：涉及为本次体检服务提供的体检场所说明，</w:t>
            </w:r>
            <w:r>
              <w:rPr>
                <w:rFonts w:hint="eastAsia" w:ascii="宋体" w:hAnsi="宋体" w:cs="仿宋_GB2312"/>
                <w:szCs w:val="21"/>
              </w:rPr>
              <w:t>体检中心或场所日可接待量不足300人，有专用停车区域，交通便利，能提供早餐和饮用水，体检环境简洁</w:t>
            </w:r>
            <w:r>
              <w:rPr>
                <w:rFonts w:hint="eastAsia" w:ascii="宋体" w:hAnsi="宋体" w:cs="宋体"/>
              </w:rPr>
              <w:t>；</w:t>
            </w:r>
          </w:p>
          <w:p>
            <w:pPr>
              <w:spacing w:line="380" w:lineRule="exact"/>
              <w:ind w:firstLine="420" w:firstLineChars="200"/>
              <w:rPr>
                <w:rFonts w:ascii="宋体" w:hAnsi="宋体" w:cs="宋体"/>
              </w:rPr>
            </w:pPr>
            <w:r>
              <w:rPr>
                <w:rFonts w:hint="eastAsia" w:ascii="宋体" w:hAnsi="宋体" w:cs="宋体"/>
              </w:rPr>
              <w:t>二档（6分）：在一档的基础上，有专门的体检中心或场所，能实现医检分离，</w:t>
            </w:r>
            <w:r>
              <w:rPr>
                <w:rFonts w:hint="eastAsia" w:ascii="宋体" w:hAnsi="宋体" w:cs="仿宋_GB2312"/>
                <w:szCs w:val="21"/>
              </w:rPr>
              <w:t>体检中心或场所日可接待量在300人～400人，有能提供早餐和饮用水的餐厅，</w:t>
            </w:r>
            <w:r>
              <w:rPr>
                <w:rFonts w:hint="eastAsia" w:ascii="宋体" w:hAnsi="宋体" w:cs="宋体"/>
              </w:rPr>
              <w:t>体检环境好，场地较大并有专用停车位；</w:t>
            </w:r>
          </w:p>
          <w:p>
            <w:pPr>
              <w:spacing w:line="380" w:lineRule="exact"/>
              <w:ind w:firstLine="420" w:firstLineChars="200"/>
              <w:rPr>
                <w:rFonts w:ascii="宋体" w:hAnsi="宋体" w:cs="宋体"/>
              </w:rPr>
            </w:pPr>
            <w:r>
              <w:rPr>
                <w:rFonts w:hint="eastAsia" w:ascii="宋体" w:hAnsi="宋体" w:cs="宋体"/>
              </w:rPr>
              <w:t>三档（10分）：有专门的体检中心或场所，能实现医检分离，</w:t>
            </w:r>
            <w:r>
              <w:rPr>
                <w:rFonts w:hint="eastAsia" w:ascii="宋体" w:hAnsi="宋体" w:cs="仿宋_GB2312"/>
                <w:szCs w:val="21"/>
              </w:rPr>
              <w:t>体检中心或场所日可接待量不少于400人，有能提供早餐和饮用水的餐厅，</w:t>
            </w:r>
            <w:r>
              <w:rPr>
                <w:rFonts w:hint="eastAsia" w:ascii="宋体" w:hAnsi="宋体" w:cs="宋体"/>
              </w:rPr>
              <w:t>体检环境舒适，可提供一站式体检服务，有2个或2个以上体检分区，并配备独立的CT室、胃肠镜室等；配备贵宾体检专用通道、贵宾专用餐厅、贵宾专用休息室等；有专用停车位，离供应商单位距离较近，交通便捷。</w:t>
            </w:r>
          </w:p>
          <w:p>
            <w:pPr>
              <w:spacing w:line="380" w:lineRule="exact"/>
              <w:ind w:firstLine="422" w:firstLineChars="200"/>
              <w:rPr>
                <w:rFonts w:ascii="宋体" w:hAnsi="宋体" w:cs="宋体"/>
                <w:b/>
                <w:bCs/>
              </w:rPr>
            </w:pPr>
            <w:r>
              <w:rPr>
                <w:rFonts w:hint="eastAsia" w:ascii="宋体" w:hAnsi="宋体" w:cs="宋体"/>
                <w:b/>
                <w:bCs/>
              </w:rPr>
              <w:t>未提供体检环境或体检环境未达到一档标准要求的，得0分。</w:t>
            </w:r>
          </w:p>
          <w:p>
            <w:pPr>
              <w:tabs>
                <w:tab w:val="left" w:pos="1160"/>
              </w:tabs>
              <w:spacing w:line="400" w:lineRule="exact"/>
              <w:ind w:firstLine="422" w:firstLineChars="200"/>
              <w:rPr>
                <w:rFonts w:ascii="宋体" w:hAnsi="宋体"/>
                <w:bCs/>
                <w:color w:val="000000" w:themeColor="text1"/>
                <w14:textFill>
                  <w14:solidFill>
                    <w14:schemeClr w14:val="tx1"/>
                  </w14:solidFill>
                </w14:textFill>
              </w:rPr>
            </w:pPr>
            <w:r>
              <w:rPr>
                <w:rFonts w:hint="eastAsia" w:ascii="宋体" w:hAnsi="宋体" w:cs="宋体"/>
                <w:b/>
              </w:rPr>
              <w:t>注：①供应商于响应文件中提供体检场所说明（包括面积、环境、体检室）的相关证明材料，相关证明材料包含但不限于官网截图、环境及体检室的照片等。②供应商于响应文件中提供带有供应商专用停车位标识的指示牌图片等相关证明材料（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体检服务方案（满分</w:t>
            </w:r>
            <w:r>
              <w:rPr>
                <w:rFonts w:hint="eastAsia" w:ascii="宋体" w:hAnsi="宋体" w:cs="宋体"/>
                <w:color w:val="000000" w:themeColor="text1"/>
                <w:u w:val="single"/>
                <w14:textFill>
                  <w14:solidFill>
                    <w14:schemeClr w14:val="tx1"/>
                  </w14:solidFill>
                </w14:textFill>
              </w:rPr>
              <w:t>15</w:t>
            </w:r>
            <w:r>
              <w:rPr>
                <w:rFonts w:hint="eastAsia" w:ascii="宋体" w:hAnsi="宋体" w:cs="宋体"/>
                <w:color w:val="000000" w:themeColor="text1"/>
                <w14:textFill>
                  <w14:solidFill>
                    <w14:schemeClr w14:val="tx1"/>
                  </w14:solidFill>
                </w14:textFill>
              </w:rPr>
              <w:t>分）</w:t>
            </w:r>
          </w:p>
        </w:tc>
        <w:tc>
          <w:tcPr>
            <w:tcW w:w="6029" w:type="dxa"/>
            <w:vAlign w:val="center"/>
          </w:tcPr>
          <w:p>
            <w:pPr>
              <w:widowControl/>
              <w:overflowPunct w:val="0"/>
              <w:autoSpaceDE w:val="0"/>
              <w:autoSpaceDN w:val="0"/>
              <w:adjustRightInd w:val="0"/>
              <w:spacing w:before="78" w:beforeLines="25" w:line="440" w:lineRule="exact"/>
              <w:ind w:firstLine="420" w:firstLineChars="200"/>
              <w:jc w:val="left"/>
              <w:textAlignment w:val="baseline"/>
              <w:rPr>
                <w:rFonts w:ascii="宋体" w:hAnsi="宋体" w:cs="宋体"/>
                <w:szCs w:val="21"/>
              </w:rPr>
            </w:pPr>
            <w:r>
              <w:rPr>
                <w:rFonts w:hint="eastAsia" w:ascii="宋体" w:hAnsi="宋体"/>
              </w:rPr>
              <w:t>磋商小组根据磋商文件要求，对各供应商提供的“</w:t>
            </w:r>
            <w:r>
              <w:rPr>
                <w:rFonts w:hint="eastAsia" w:ascii="宋体" w:hAnsi="宋体" w:cs="宋体"/>
                <w:color w:val="000000" w:themeColor="text1"/>
                <w14:textFill>
                  <w14:solidFill>
                    <w14:schemeClr w14:val="tx1"/>
                  </w14:solidFill>
                </w14:textFill>
              </w:rPr>
              <w:t>体检服务方案</w:t>
            </w:r>
            <w:r>
              <w:rPr>
                <w:rFonts w:hint="eastAsia" w:ascii="宋体" w:hAnsi="宋体"/>
              </w:rPr>
              <w:t>”内容进行打分：</w:t>
            </w:r>
          </w:p>
          <w:p>
            <w:pPr>
              <w:widowControl/>
              <w:overflowPunct w:val="0"/>
              <w:autoSpaceDE w:val="0"/>
              <w:autoSpaceDN w:val="0"/>
              <w:adjustRightInd w:val="0"/>
              <w:spacing w:before="78" w:beforeLines="25" w:line="440" w:lineRule="exact"/>
              <w:ind w:firstLine="420" w:firstLineChars="200"/>
              <w:jc w:val="left"/>
              <w:textAlignment w:val="baseline"/>
              <w:rPr>
                <w:rFonts w:ascii="宋体" w:hAnsi="宋体" w:cs="宋体"/>
                <w:szCs w:val="21"/>
              </w:rPr>
            </w:pPr>
            <w:r>
              <w:rPr>
                <w:rFonts w:hint="eastAsia" w:ascii="宋体" w:hAnsi="宋体" w:cs="宋体"/>
                <w:szCs w:val="21"/>
              </w:rPr>
              <w:t>一档（5分）：</w:t>
            </w:r>
            <w:r>
              <w:rPr>
                <w:rFonts w:hint="eastAsia" w:ascii="宋体" w:hAnsi="宋体" w:cs="宋体"/>
                <w:spacing w:val="8"/>
                <w:szCs w:val="21"/>
              </w:rPr>
              <w:t>供应商的体检服务方案能响应项目采购需求的前提下，</w:t>
            </w:r>
            <w:r>
              <w:rPr>
                <w:rFonts w:hint="eastAsia" w:ascii="宋体" w:hAnsi="宋体" w:cs="宋体"/>
                <w:szCs w:val="21"/>
              </w:rPr>
              <w:t>有对体检的整个流程安排、各环节有具体服务承诺但缺乏保障措施，建立有</w:t>
            </w:r>
            <w:r>
              <w:rPr>
                <w:rFonts w:hint="eastAsia" w:ascii="宋体" w:hAnsi="宋体"/>
                <w:szCs w:val="21"/>
              </w:rPr>
              <w:t>规章制度、操作规程，缺乏应急处置方案预案内容</w:t>
            </w:r>
            <w:r>
              <w:rPr>
                <w:rFonts w:hint="eastAsia" w:ascii="宋体" w:hAnsi="宋体" w:cs="宋体"/>
                <w:szCs w:val="21"/>
              </w:rPr>
              <w:t>；</w:t>
            </w:r>
          </w:p>
          <w:p>
            <w:pPr>
              <w:widowControl/>
              <w:overflowPunct w:val="0"/>
              <w:autoSpaceDE w:val="0"/>
              <w:autoSpaceDN w:val="0"/>
              <w:adjustRightInd w:val="0"/>
              <w:spacing w:before="78" w:beforeLines="25" w:line="440" w:lineRule="exact"/>
              <w:ind w:firstLine="420" w:firstLineChars="200"/>
              <w:jc w:val="left"/>
              <w:textAlignment w:val="baseline"/>
              <w:rPr>
                <w:rFonts w:ascii="宋体" w:hAnsi="宋体" w:cs="宋体"/>
                <w:szCs w:val="21"/>
              </w:rPr>
            </w:pPr>
            <w:r>
              <w:rPr>
                <w:rFonts w:hint="eastAsia" w:ascii="宋体" w:hAnsi="宋体" w:cs="宋体"/>
                <w:szCs w:val="21"/>
              </w:rPr>
              <w:t>二档（10分）：</w:t>
            </w:r>
            <w:r>
              <w:rPr>
                <w:rFonts w:hint="eastAsia" w:ascii="宋体" w:hAnsi="宋体" w:cs="宋体"/>
                <w:spacing w:val="8"/>
                <w:szCs w:val="21"/>
              </w:rPr>
              <w:t>供应商的体检服务方案完全响应项目采购需求的前提下，</w:t>
            </w:r>
            <w:r>
              <w:rPr>
                <w:rFonts w:hint="eastAsia" w:ascii="宋体" w:hAnsi="宋体" w:cs="宋体"/>
                <w:szCs w:val="21"/>
              </w:rPr>
              <w:t>有对体检的整个流程安排、各环节有具体服务承诺且有相应保障措施，</w:t>
            </w:r>
            <w:r>
              <w:rPr>
                <w:rFonts w:hint="eastAsia" w:ascii="宋体" w:hAnsi="宋体"/>
                <w:szCs w:val="21"/>
              </w:rPr>
              <w:t>规章制度、操作规程、应急处置方案预案</w:t>
            </w:r>
            <w:r>
              <w:rPr>
                <w:rFonts w:hint="eastAsia" w:ascii="宋体" w:hAnsi="宋体" w:cs="宋体"/>
                <w:szCs w:val="21"/>
              </w:rPr>
              <w:t>，内容</w:t>
            </w:r>
            <w:r>
              <w:rPr>
                <w:rFonts w:hint="eastAsia" w:ascii="宋体" w:hAnsi="宋体"/>
                <w:szCs w:val="21"/>
              </w:rPr>
              <w:t>详细且可行</w:t>
            </w:r>
            <w:r>
              <w:rPr>
                <w:rFonts w:hint="eastAsia" w:ascii="宋体" w:hAnsi="宋体" w:cs="宋体"/>
                <w:szCs w:val="21"/>
              </w:rPr>
              <w:t>；</w:t>
            </w:r>
          </w:p>
          <w:p>
            <w:pPr>
              <w:widowControl/>
              <w:overflowPunct w:val="0"/>
              <w:autoSpaceDE w:val="0"/>
              <w:autoSpaceDN w:val="0"/>
              <w:adjustRightInd w:val="0"/>
              <w:spacing w:line="440" w:lineRule="exact"/>
              <w:ind w:firstLine="420" w:firstLineChars="200"/>
              <w:jc w:val="left"/>
              <w:textAlignment w:val="baseline"/>
              <w:rPr>
                <w:rFonts w:ascii="宋体" w:hAnsi="宋体" w:cs="宋体"/>
                <w:szCs w:val="21"/>
              </w:rPr>
            </w:pPr>
            <w:r>
              <w:rPr>
                <w:rFonts w:hint="eastAsia" w:ascii="宋体" w:hAnsi="宋体" w:cs="宋体"/>
                <w:szCs w:val="21"/>
              </w:rPr>
              <w:t>三档（15分）：在二档的基础上，充分考虑到体检过程中所遇到的问题并提供解决或应急办法，各环节有具体服务承诺，保障措施明确及服务承诺保障措施完善，服务方案中</w:t>
            </w:r>
            <w:r>
              <w:rPr>
                <w:rFonts w:hint="eastAsia" w:ascii="宋体" w:hAnsi="宋体"/>
                <w:szCs w:val="21"/>
              </w:rPr>
              <w:t>能详细体现供应商现有规章制度，且制度完善，包含体检的各个环节；操作规程完善，应急处置方案预案涉及体检各个环节，</w:t>
            </w:r>
            <w:r>
              <w:rPr>
                <w:rFonts w:hint="eastAsia" w:ascii="宋体" w:hAnsi="宋体" w:cs="宋体"/>
                <w:szCs w:val="21"/>
              </w:rPr>
              <w:t>提供单位</w:t>
            </w:r>
            <w:r>
              <w:rPr>
                <w:rFonts w:ascii="宋体" w:hAnsi="宋体" w:cs="宋体"/>
                <w:szCs w:val="21"/>
              </w:rPr>
              <w:t>专场体检服务</w:t>
            </w:r>
            <w:r>
              <w:rPr>
                <w:rFonts w:hint="eastAsia" w:ascii="宋体" w:hAnsi="宋体" w:cs="宋体"/>
                <w:szCs w:val="21"/>
              </w:rPr>
              <w:t>，现场引导及指引得当，有隐私保护措施。</w:t>
            </w:r>
          </w:p>
          <w:p>
            <w:pPr>
              <w:tabs>
                <w:tab w:val="left" w:pos="1160"/>
              </w:tabs>
              <w:spacing w:line="400" w:lineRule="exact"/>
              <w:ind w:firstLine="422" w:firstLineChars="200"/>
              <w:rPr>
                <w:rFonts w:ascii="宋体" w:hAnsi="宋体"/>
                <w:bCs/>
                <w:color w:val="000000" w:themeColor="text1"/>
                <w14:textFill>
                  <w14:solidFill>
                    <w14:schemeClr w14:val="tx1"/>
                  </w14:solidFill>
                </w14:textFill>
              </w:rPr>
            </w:pPr>
            <w:r>
              <w:rPr>
                <w:rFonts w:hint="eastAsia" w:ascii="宋体" w:hAnsi="宋体" w:cs="宋体"/>
                <w:b/>
                <w:bCs/>
                <w:szCs w:val="21"/>
              </w:rPr>
              <w:t>未提供体检服务方案或体检服务方案未达到一档标准要求的，得0分。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vAlign w:val="center"/>
          </w:tcPr>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健康管理服务方案（满分</w:t>
            </w:r>
            <w:r>
              <w:rPr>
                <w:rFonts w:hint="eastAsia" w:ascii="宋体" w:hAnsi="宋体" w:cs="宋体"/>
                <w:bCs/>
                <w:color w:val="000000" w:themeColor="text1"/>
                <w:u w:val="single"/>
                <w14:textFill>
                  <w14:solidFill>
                    <w14:schemeClr w14:val="tx1"/>
                  </w14:solidFill>
                </w14:textFill>
              </w:rPr>
              <w:t>15</w:t>
            </w:r>
            <w:r>
              <w:rPr>
                <w:rFonts w:hint="eastAsia" w:ascii="宋体" w:hAnsi="宋体" w:cs="宋体"/>
                <w:bCs/>
                <w:color w:val="000000" w:themeColor="text1"/>
                <w14:textFill>
                  <w14:solidFill>
                    <w14:schemeClr w14:val="tx1"/>
                  </w14:solidFill>
                </w14:textFill>
              </w:rPr>
              <w:t>分）</w:t>
            </w:r>
          </w:p>
        </w:tc>
        <w:tc>
          <w:tcPr>
            <w:tcW w:w="6029" w:type="dxa"/>
            <w:vAlign w:val="center"/>
          </w:tcPr>
          <w:p>
            <w:pPr>
              <w:widowControl/>
              <w:overflowPunct w:val="0"/>
              <w:autoSpaceDE w:val="0"/>
              <w:autoSpaceDN w:val="0"/>
              <w:adjustRightInd w:val="0"/>
              <w:spacing w:before="78" w:beforeLines="25" w:line="440" w:lineRule="exact"/>
              <w:ind w:firstLine="420" w:firstLineChars="200"/>
              <w:jc w:val="left"/>
              <w:textAlignment w:val="baseline"/>
              <w:rPr>
                <w:rFonts w:ascii="宋体" w:hAnsi="宋体" w:cs="宋体"/>
                <w:szCs w:val="21"/>
              </w:rPr>
            </w:pPr>
            <w:r>
              <w:rPr>
                <w:rFonts w:hint="eastAsia" w:ascii="宋体" w:hAnsi="宋体"/>
              </w:rPr>
              <w:t>磋商小组根据磋商文件要求，对各供应商提供的“</w:t>
            </w:r>
            <w:r>
              <w:rPr>
                <w:rFonts w:hint="eastAsia" w:ascii="宋体" w:hAnsi="宋体" w:cs="宋体"/>
                <w:bCs/>
                <w:color w:val="000000" w:themeColor="text1"/>
                <w14:textFill>
                  <w14:solidFill>
                    <w14:schemeClr w14:val="tx1"/>
                  </w14:solidFill>
                </w14:textFill>
              </w:rPr>
              <w:t>健康管理服务方案</w:t>
            </w:r>
            <w:r>
              <w:rPr>
                <w:rFonts w:hint="eastAsia" w:ascii="宋体" w:hAnsi="宋体"/>
              </w:rPr>
              <w:t>”内容进行打分：</w:t>
            </w:r>
          </w:p>
          <w:p>
            <w:pPr>
              <w:widowControl/>
              <w:overflowPunct w:val="0"/>
              <w:autoSpaceDE w:val="0"/>
              <w:autoSpaceDN w:val="0"/>
              <w:adjustRightInd w:val="0"/>
              <w:spacing w:line="440" w:lineRule="exact"/>
              <w:ind w:firstLine="420" w:firstLineChars="200"/>
              <w:jc w:val="left"/>
              <w:textAlignment w:val="baseline"/>
              <w:rPr>
                <w:rFonts w:ascii="宋体" w:hAnsi="宋体" w:cs="宋体"/>
                <w:szCs w:val="21"/>
              </w:rPr>
            </w:pPr>
            <w:r>
              <w:rPr>
                <w:rFonts w:hint="eastAsia" w:ascii="宋体" w:hAnsi="宋体" w:cs="宋体"/>
                <w:szCs w:val="21"/>
              </w:rPr>
              <w:t>一档（5分）：供应商的健康管理服务方案中，对采购人的参检人体检结果有职工一对一的报告解读，体检后的建议以及存在问题的处理意见；针对每一位参检人的体检报告，能给出健康评价，协助采购人建立职工健康档案；</w:t>
            </w:r>
          </w:p>
          <w:p>
            <w:pPr>
              <w:widowControl/>
              <w:overflowPunct w:val="0"/>
              <w:autoSpaceDE w:val="0"/>
              <w:autoSpaceDN w:val="0"/>
              <w:adjustRightInd w:val="0"/>
              <w:spacing w:line="440" w:lineRule="exact"/>
              <w:ind w:firstLine="420" w:firstLineChars="200"/>
              <w:jc w:val="left"/>
              <w:textAlignment w:val="baseline"/>
              <w:rPr>
                <w:rFonts w:ascii="宋体" w:hAnsi="宋体" w:cs="宋体"/>
                <w:szCs w:val="21"/>
              </w:rPr>
            </w:pPr>
            <w:r>
              <w:rPr>
                <w:rFonts w:hint="eastAsia" w:ascii="宋体" w:hAnsi="宋体" w:cs="宋体"/>
                <w:szCs w:val="21"/>
              </w:rPr>
              <w:t>二档（10分）：在一档的基础上，对检查结果异常情况、需进一步检查或需住院治疗的参检人，提供预约床位、就诊、检查、</w:t>
            </w:r>
            <w:r>
              <w:rPr>
                <w:rFonts w:hint="eastAsia" w:ascii="宋体" w:hAnsi="宋体"/>
              </w:rPr>
              <w:t>个人重大疾病就医绿色通道</w:t>
            </w:r>
            <w:r>
              <w:rPr>
                <w:rFonts w:hint="eastAsia" w:ascii="宋体" w:hAnsi="宋体" w:cs="宋体"/>
                <w:szCs w:val="21"/>
              </w:rPr>
              <w:t>等配套服务；</w:t>
            </w:r>
          </w:p>
          <w:p>
            <w:pPr>
              <w:widowControl/>
              <w:overflowPunct w:val="0"/>
              <w:autoSpaceDE w:val="0"/>
              <w:autoSpaceDN w:val="0"/>
              <w:adjustRightInd w:val="0"/>
              <w:spacing w:line="440" w:lineRule="exact"/>
              <w:ind w:firstLine="420" w:firstLineChars="200"/>
              <w:jc w:val="left"/>
              <w:textAlignment w:val="baseline"/>
              <w:rPr>
                <w:rFonts w:ascii="宋体" w:hAnsi="宋体" w:cs="宋体"/>
                <w:szCs w:val="21"/>
              </w:rPr>
            </w:pPr>
            <w:r>
              <w:rPr>
                <w:rFonts w:hint="eastAsia" w:ascii="宋体" w:hAnsi="宋体" w:cs="宋体"/>
                <w:szCs w:val="21"/>
              </w:rPr>
              <w:t>三档（15分）：在二档的基础上，对采购人的参检人提供检后全程健康管理服务，可开展线上线下或远程健康管理，对参检人体检结果有异常情况重点人群开展健康风险评估、连续性监测及有效干预的，有</w:t>
            </w:r>
            <w:r>
              <w:rPr>
                <w:rFonts w:hint="eastAsia" w:ascii="宋体" w:hAnsi="宋体"/>
              </w:rPr>
              <w:t>义诊、咨询、健康讲座服务</w:t>
            </w:r>
            <w:r>
              <w:rPr>
                <w:rFonts w:hint="eastAsia" w:ascii="宋体" w:hAnsi="宋体" w:cs="宋体"/>
                <w:szCs w:val="21"/>
              </w:rPr>
              <w:t>。</w:t>
            </w:r>
          </w:p>
          <w:p>
            <w:pPr>
              <w:tabs>
                <w:tab w:val="left" w:pos="1160"/>
              </w:tabs>
              <w:spacing w:line="400" w:lineRule="exact"/>
              <w:ind w:firstLine="422" w:firstLineChars="200"/>
              <w:rPr>
                <w:rFonts w:ascii="宋体" w:hAnsi="宋体"/>
                <w:bCs/>
                <w:color w:val="000000" w:themeColor="text1"/>
                <w14:textFill>
                  <w14:solidFill>
                    <w14:schemeClr w14:val="tx1"/>
                  </w14:solidFill>
                </w14:textFill>
              </w:rPr>
            </w:pPr>
            <w:r>
              <w:rPr>
                <w:rFonts w:hint="eastAsia" w:ascii="宋体" w:hAnsi="宋体" w:cs="宋体"/>
                <w:b/>
                <w:bCs/>
                <w:szCs w:val="21"/>
              </w:rPr>
              <w:t>未提供健康管理服务方案或健康管理服务方案未达到一档标准要求的，得0分。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45" w:type="dxa"/>
            <w:vMerge w:val="restart"/>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w:t>
            </w:r>
          </w:p>
        </w:tc>
        <w:tc>
          <w:tcPr>
            <w:tcW w:w="1500" w:type="dxa"/>
            <w:vMerge w:val="restart"/>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商务分</w:t>
            </w:r>
          </w:p>
          <w:p>
            <w:pPr>
              <w:spacing w:line="400" w:lineRule="exact"/>
              <w:jc w:val="center"/>
              <w:textAlignment w:val="baseline"/>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满分</w:t>
            </w:r>
            <w:r>
              <w:rPr>
                <w:rFonts w:hint="eastAsia" w:ascii="宋体" w:hAnsi="宋体" w:cs="宋体"/>
                <w:color w:val="000000" w:themeColor="text1"/>
                <w:lang w:val="en-US" w:eastAsia="zh-CN"/>
                <w14:textFill>
                  <w14:solidFill>
                    <w14:schemeClr w14:val="tx1"/>
                  </w14:solidFill>
                </w14:textFill>
              </w:rPr>
              <w:t>40</w:t>
            </w:r>
            <w:r>
              <w:rPr>
                <w:rFonts w:hint="eastAsia" w:ascii="宋体" w:hAnsi="宋体" w:cs="宋体"/>
                <w:bCs/>
                <w:color w:val="000000" w:themeColor="text1"/>
                <w14:textFill>
                  <w14:solidFill>
                    <w14:schemeClr w14:val="tx1"/>
                  </w14:solidFill>
                </w14:textFill>
              </w:rPr>
              <w:t>分）</w:t>
            </w:r>
          </w:p>
        </w:tc>
        <w:tc>
          <w:tcPr>
            <w:tcW w:w="1576" w:type="dxa"/>
            <w:tcMar>
              <w:left w:w="57" w:type="dxa"/>
              <w:right w:w="57" w:type="dxa"/>
            </w:tcMar>
            <w:vAlign w:val="center"/>
          </w:tcPr>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拟投入项目实施人员</w:t>
            </w:r>
          </w:p>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（满分</w:t>
            </w:r>
            <w:r>
              <w:rPr>
                <w:rFonts w:hint="eastAsia" w:ascii="宋体" w:hAnsi="宋体" w:cs="宋体"/>
                <w:bCs/>
                <w:color w:val="000000" w:themeColor="text1"/>
                <w:u w:val="single"/>
                <w14:textFill>
                  <w14:solidFill>
                    <w14:schemeClr w14:val="tx1"/>
                  </w14:solidFill>
                </w14:textFill>
              </w:rPr>
              <w:t>8</w:t>
            </w:r>
            <w:r>
              <w:rPr>
                <w:rFonts w:hint="eastAsia" w:ascii="宋体" w:hAnsi="宋体" w:cs="宋体"/>
                <w:bCs/>
                <w:color w:val="000000" w:themeColor="text1"/>
                <w14:textFill>
                  <w14:solidFill>
                    <w14:schemeClr w14:val="tx1"/>
                  </w14:solidFill>
                </w14:textFill>
              </w:rPr>
              <w:t>分）</w:t>
            </w:r>
          </w:p>
        </w:tc>
        <w:tc>
          <w:tcPr>
            <w:tcW w:w="6029" w:type="dxa"/>
            <w:vAlign w:val="center"/>
          </w:tcPr>
          <w:p>
            <w:pPr>
              <w:spacing w:line="400" w:lineRule="exact"/>
              <w:rPr>
                <w:rFonts w:ascii="宋体" w:hAnsi="宋体" w:cs="宋体"/>
                <w:bCs/>
                <w:lang w:val="zh-CN"/>
              </w:rPr>
            </w:pPr>
            <w:r>
              <w:rPr>
                <w:rFonts w:hint="eastAsia" w:cs="仿宋"/>
                <w:bCs/>
              </w:rPr>
              <w:t>①</w:t>
            </w:r>
            <w:r>
              <w:rPr>
                <w:rFonts w:hint="eastAsia" w:ascii="宋体" w:hAnsi="宋体" w:cs="宋体"/>
                <w:bCs/>
                <w:lang w:val="zh-CN"/>
              </w:rPr>
              <w:t>供应商拟投入本项目的人员中，具有主治医师职称的每有1人得0.5分，</w:t>
            </w:r>
            <w:r>
              <w:rPr>
                <w:rFonts w:hint="eastAsia" w:cs="仿宋"/>
                <w:bCs/>
                <w:lang w:val="zh-CN"/>
              </w:rPr>
              <w:t>具有副主任医师职称的，每</w:t>
            </w:r>
            <w:r>
              <w:rPr>
                <w:rFonts w:hint="eastAsia" w:ascii="宋体" w:hAnsi="宋体" w:cs="宋体"/>
                <w:bCs/>
                <w:lang w:val="zh-CN"/>
              </w:rPr>
              <w:t>有1人得1分，</w:t>
            </w:r>
            <w:r>
              <w:rPr>
                <w:rFonts w:hint="eastAsia" w:cs="仿宋"/>
                <w:bCs/>
                <w:lang w:val="zh-CN"/>
              </w:rPr>
              <w:t>具有主任医师职称的，每</w:t>
            </w:r>
            <w:r>
              <w:rPr>
                <w:rFonts w:hint="eastAsia" w:ascii="宋体" w:hAnsi="宋体" w:cs="宋体"/>
                <w:bCs/>
                <w:lang w:val="zh-CN"/>
              </w:rPr>
              <w:t>有1人得</w:t>
            </w:r>
            <w:r>
              <w:rPr>
                <w:rFonts w:hint="eastAsia" w:ascii="宋体" w:hAnsi="宋体" w:cs="宋体"/>
                <w:bCs/>
              </w:rPr>
              <w:t>1.5</w:t>
            </w:r>
            <w:r>
              <w:rPr>
                <w:rFonts w:hint="eastAsia" w:ascii="宋体" w:hAnsi="宋体" w:cs="宋体"/>
                <w:bCs/>
                <w:lang w:val="zh-CN"/>
              </w:rPr>
              <w:t>分，</w:t>
            </w:r>
            <w:r>
              <w:rPr>
                <w:rFonts w:hint="eastAsia" w:ascii="宋体" w:hAnsi="宋体" w:cs="仿宋_GB2312"/>
                <w:szCs w:val="21"/>
              </w:rPr>
              <w:t>满分8分。超出满分的按满分计</w:t>
            </w:r>
            <w:r>
              <w:rPr>
                <w:rFonts w:hint="eastAsia" w:ascii="宋体" w:hAnsi="宋体" w:cs="宋体"/>
                <w:bCs/>
                <w:lang w:val="zh-CN"/>
              </w:rPr>
              <w:t>。</w:t>
            </w:r>
          </w:p>
          <w:p>
            <w:pPr>
              <w:pStyle w:val="10"/>
              <w:spacing w:line="560" w:lineRule="exact"/>
              <w:rPr>
                <w:color w:val="000000" w:themeColor="text1"/>
                <w14:textFill>
                  <w14:solidFill>
                    <w14:schemeClr w14:val="tx1"/>
                  </w14:solidFill>
                </w14:textFill>
              </w:rPr>
            </w:pPr>
            <w:r>
              <w:rPr>
                <w:rFonts w:hint="eastAsia" w:hAnsi="宋体" w:cs="宋体"/>
                <w:b/>
                <w:bCs/>
                <w:lang w:val="zh-CN"/>
              </w:rPr>
              <w:t>注：供应商于响应文件中</w:t>
            </w:r>
            <w:r>
              <w:rPr>
                <w:rFonts w:hint="eastAsia" w:cs="仿宋"/>
                <w:b/>
                <w:bCs/>
                <w:lang w:val="zh-CN"/>
              </w:rPr>
              <w:t>提供人员的职称证书复印件</w:t>
            </w:r>
            <w:r>
              <w:rPr>
                <w:rFonts w:hint="eastAsia" w:cs="仿宋"/>
                <w:bCs/>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Cs/>
                <w:color w:val="000000" w:themeColor="text1"/>
                <w14:textFill>
                  <w14:solidFill>
                    <w14:schemeClr w14:val="tx1"/>
                  </w14:solidFill>
                </w14:textFill>
              </w:rPr>
            </w:pPr>
          </w:p>
        </w:tc>
        <w:tc>
          <w:tcPr>
            <w:tcW w:w="1576" w:type="dxa"/>
            <w:tcMar>
              <w:left w:w="57" w:type="dxa"/>
              <w:right w:w="57" w:type="dxa"/>
            </w:tcMar>
            <w:vAlign w:val="center"/>
          </w:tcPr>
          <w:p>
            <w:pPr>
              <w:spacing w:line="400" w:lineRule="exact"/>
              <w:jc w:val="center"/>
              <w:rPr>
                <w:rFonts w:ascii="宋体" w:hAnsi="宋体" w:cs="宋体"/>
                <w:bCs/>
                <w:color w:val="000000" w:themeColor="text1"/>
                <w14:textFill>
                  <w14:solidFill>
                    <w14:schemeClr w14:val="tx1"/>
                  </w14:solidFill>
                </w14:textFill>
              </w:rPr>
            </w:pPr>
            <w:r>
              <w:rPr>
                <w:rFonts w:hint="eastAsia" w:hAnsi="宋体" w:cs="宋体"/>
                <w:color w:val="000000"/>
              </w:rPr>
              <w:t>拟投入检测设备</w:t>
            </w:r>
            <w:r>
              <w:rPr>
                <w:rFonts w:hint="eastAsia" w:ascii="宋体" w:hAnsi="宋体" w:cs="宋体"/>
                <w:bCs/>
                <w:color w:val="000000" w:themeColor="text1"/>
                <w14:textFill>
                  <w14:solidFill>
                    <w14:schemeClr w14:val="tx1"/>
                  </w14:solidFill>
                </w14:textFill>
              </w:rPr>
              <w:t>（满分</w:t>
            </w:r>
            <w:r>
              <w:rPr>
                <w:rFonts w:hint="eastAsia" w:ascii="宋体" w:hAnsi="宋体" w:cs="宋体"/>
                <w:bCs/>
                <w:color w:val="000000" w:themeColor="text1"/>
                <w:u w:val="single"/>
                <w14:textFill>
                  <w14:solidFill>
                    <w14:schemeClr w14:val="tx1"/>
                  </w14:solidFill>
                </w14:textFill>
              </w:rPr>
              <w:t>14</w:t>
            </w:r>
            <w:r>
              <w:rPr>
                <w:rFonts w:hint="eastAsia" w:ascii="宋体" w:hAnsi="宋体" w:cs="宋体"/>
                <w:bCs/>
                <w:color w:val="000000" w:themeColor="text1"/>
                <w14:textFill>
                  <w14:solidFill>
                    <w14:schemeClr w14:val="tx1"/>
                  </w14:solidFill>
                </w14:textFill>
              </w:rPr>
              <w:t>分）</w:t>
            </w:r>
          </w:p>
        </w:tc>
        <w:tc>
          <w:tcPr>
            <w:tcW w:w="6029" w:type="dxa"/>
            <w:vAlign w:val="center"/>
          </w:tcPr>
          <w:p>
            <w:pPr>
              <w:spacing w:line="400" w:lineRule="exact"/>
              <w:rPr>
                <w:rFonts w:ascii="宋体" w:hAnsi="宋体" w:cs="宋体"/>
                <w:color w:val="000000"/>
              </w:rPr>
            </w:pPr>
            <w:r>
              <w:rPr>
                <w:rFonts w:hint="eastAsia" w:ascii="宋体" w:hAnsi="宋体" w:cs="宋体"/>
                <w:color w:val="000000"/>
              </w:rPr>
              <w:t>①拟投入的CT为＜64排，得1分；CT为64排（含）-128排（不含），得2分；CT为128排（含）-256排（不含），得3分；CT≥256排，得4分。本项满分4分。</w:t>
            </w:r>
          </w:p>
          <w:p>
            <w:pPr>
              <w:spacing w:line="400" w:lineRule="exact"/>
              <w:rPr>
                <w:rFonts w:ascii="宋体" w:hAnsi="宋体" w:cs="宋体"/>
                <w:color w:val="000000"/>
              </w:rPr>
            </w:pPr>
            <w:r>
              <w:rPr>
                <w:rFonts w:hint="eastAsia" w:ascii="宋体" w:hAnsi="宋体" w:cs="宋体"/>
                <w:color w:val="000000"/>
              </w:rPr>
              <w:t>②拟投入B超每有1台得1分，本项满分6分。</w:t>
            </w:r>
          </w:p>
          <w:p>
            <w:pPr>
              <w:spacing w:line="400" w:lineRule="exact"/>
              <w:rPr>
                <w:rFonts w:ascii="宋体" w:hAnsi="宋体" w:cs="宋体"/>
                <w:color w:val="000000"/>
              </w:rPr>
            </w:pPr>
            <w:r>
              <w:rPr>
                <w:rFonts w:hint="eastAsia" w:ascii="宋体" w:hAnsi="宋体" w:cs="宋体"/>
                <w:color w:val="000000"/>
              </w:rPr>
              <w:t>③具有体检专用的仪器：心电图机1台得2分，最多得4分。</w:t>
            </w:r>
          </w:p>
          <w:p>
            <w:pPr>
              <w:pStyle w:val="10"/>
              <w:spacing w:line="560" w:lineRule="exact"/>
              <w:rPr>
                <w:rFonts w:hAnsi="宋体" w:cs="宋体"/>
                <w:b/>
                <w:bCs/>
                <w:lang w:val="zh-CN"/>
              </w:rPr>
            </w:pPr>
            <w:r>
              <w:rPr>
                <w:rFonts w:hint="eastAsia" w:hAnsi="宋体" w:cs="宋体"/>
                <w:b/>
                <w:bCs/>
              </w:rPr>
              <w:t>注：①未提供体检设备图片或技术指标等相关证明材料的，本项不予计分。②以上设备如为自有设备需要提供购买发票复印件或购买合同等其他证明文件，如为租赁设备需提供租赁合同且租赁合同需在本项目有效的服务期内。③如所提供的材料模糊不清或无法判定的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Cs/>
                <w:color w:val="000000" w:themeColor="text1"/>
                <w14:textFill>
                  <w14:solidFill>
                    <w14:schemeClr w14:val="tx1"/>
                  </w14:solidFill>
                </w14:textFill>
              </w:rPr>
            </w:pPr>
          </w:p>
        </w:tc>
        <w:tc>
          <w:tcPr>
            <w:tcW w:w="1576" w:type="dxa"/>
            <w:tcMar>
              <w:left w:w="57" w:type="dxa"/>
              <w:right w:w="57" w:type="dxa"/>
            </w:tcMar>
            <w:vAlign w:val="center"/>
          </w:tcPr>
          <w:p>
            <w:pPr>
              <w:spacing w:line="400" w:lineRule="exact"/>
              <w:jc w:val="center"/>
              <w:rPr>
                <w:rFonts w:hAnsi="宋体" w:cs="宋体"/>
                <w:color w:val="000000"/>
              </w:rPr>
            </w:pPr>
            <w:r>
              <w:rPr>
                <w:rFonts w:hint="eastAsia" w:hAnsi="宋体" w:cs="宋体"/>
                <w:color w:val="000000"/>
              </w:rPr>
              <w:t>综合实力</w:t>
            </w:r>
            <w:r>
              <w:rPr>
                <w:rFonts w:hint="eastAsia" w:ascii="宋体" w:hAnsi="宋体" w:cs="宋体"/>
                <w:bCs/>
                <w:color w:val="000000" w:themeColor="text1"/>
                <w14:textFill>
                  <w14:solidFill>
                    <w14:schemeClr w14:val="tx1"/>
                  </w14:solidFill>
                </w14:textFill>
              </w:rPr>
              <w:t>（满分</w:t>
            </w:r>
            <w:r>
              <w:rPr>
                <w:rFonts w:hint="eastAsia" w:ascii="宋体" w:hAnsi="宋体" w:cs="宋体"/>
                <w:bCs/>
                <w:color w:val="000000" w:themeColor="text1"/>
                <w:u w:val="single"/>
                <w14:textFill>
                  <w14:solidFill>
                    <w14:schemeClr w14:val="tx1"/>
                  </w14:solidFill>
                </w14:textFill>
              </w:rPr>
              <w:t>12</w:t>
            </w:r>
            <w:r>
              <w:rPr>
                <w:rFonts w:hint="eastAsia" w:ascii="宋体" w:hAnsi="宋体" w:cs="宋体"/>
                <w:bCs/>
                <w:color w:val="000000" w:themeColor="text1"/>
                <w14:textFill>
                  <w14:solidFill>
                    <w14:schemeClr w14:val="tx1"/>
                  </w14:solidFill>
                </w14:textFill>
              </w:rPr>
              <w:t>分）</w:t>
            </w:r>
          </w:p>
        </w:tc>
        <w:tc>
          <w:tcPr>
            <w:tcW w:w="6029" w:type="dxa"/>
            <w:vAlign w:val="center"/>
          </w:tcPr>
          <w:p>
            <w:pPr>
              <w:pStyle w:val="10"/>
              <w:spacing w:line="560" w:lineRule="exact"/>
              <w:rPr>
                <w:rFonts w:hAnsi="宋体" w:cs="宋体"/>
                <w:b/>
                <w:bCs/>
              </w:rPr>
            </w:pPr>
            <w:r>
              <w:rPr>
                <w:rFonts w:hint="eastAsia" w:hAnsi="宋体" w:cs="宋体"/>
                <w:szCs w:val="24"/>
              </w:rPr>
              <w:t>供应商为国家一级医院或体检机构的，得4分；为国家二级医院或体检机构的，得8分；为国家三级及以上医院或三级及以上体检机构的，得12分（供应商于响应文件中提供相关有效证明材料复印件，并加盖供应商公章</w:t>
            </w:r>
            <w:r>
              <w:rPr>
                <w:rFonts w:hint="eastAsia" w:hAnsi="宋体" w:cs="宋体"/>
              </w:rPr>
              <w:t>，不提供不得分</w:t>
            </w:r>
            <w:r>
              <w:rPr>
                <w:rFonts w:hint="eastAsia" w:hAnsi="宋体" w:cs="宋体"/>
                <w:szCs w:val="24"/>
              </w:rPr>
              <w:t>），本项最多得12分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345" w:type="dxa"/>
            <w:vMerge w:val="continue"/>
            <w:vAlign w:val="center"/>
          </w:tcPr>
          <w:p>
            <w:pPr>
              <w:spacing w:line="400" w:lineRule="exact"/>
              <w:jc w:val="center"/>
              <w:textAlignment w:val="baseline"/>
              <w:rPr>
                <w:rFonts w:ascii="宋体" w:hAnsi="宋体" w:cs="宋体"/>
                <w:b/>
                <w:color w:val="000000" w:themeColor="text1"/>
                <w14:textFill>
                  <w14:solidFill>
                    <w14:schemeClr w14:val="tx1"/>
                  </w14:solidFill>
                </w14:textFill>
              </w:rPr>
            </w:pPr>
          </w:p>
        </w:tc>
        <w:tc>
          <w:tcPr>
            <w:tcW w:w="1500" w:type="dxa"/>
            <w:vMerge w:val="continue"/>
            <w:vAlign w:val="center"/>
          </w:tcPr>
          <w:p>
            <w:pPr>
              <w:spacing w:line="400" w:lineRule="exact"/>
              <w:jc w:val="center"/>
              <w:textAlignment w:val="baseline"/>
              <w:rPr>
                <w:rFonts w:ascii="宋体" w:hAnsi="宋体" w:cs="宋体"/>
                <w:b/>
                <w:bCs/>
                <w:color w:val="000000" w:themeColor="text1"/>
                <w14:textFill>
                  <w14:solidFill>
                    <w14:schemeClr w14:val="tx1"/>
                  </w14:solidFill>
                </w14:textFill>
              </w:rPr>
            </w:pPr>
          </w:p>
        </w:tc>
        <w:tc>
          <w:tcPr>
            <w:tcW w:w="1576" w:type="dxa"/>
            <w:tcMar>
              <w:left w:w="57" w:type="dxa"/>
              <w:right w:w="57" w:type="dxa"/>
            </w:tcMar>
            <w:vAlign w:val="center"/>
          </w:tcPr>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业绩分</w:t>
            </w:r>
          </w:p>
          <w:p>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（满分</w:t>
            </w:r>
            <w:r>
              <w:rPr>
                <w:rFonts w:hint="eastAsia" w:ascii="宋体" w:hAnsi="宋体" w:cs="宋体"/>
                <w:bCs/>
                <w:color w:val="000000" w:themeColor="text1"/>
                <w:u w:val="single"/>
                <w14:textFill>
                  <w14:solidFill>
                    <w14:schemeClr w14:val="tx1"/>
                  </w14:solidFill>
                </w14:textFill>
              </w:rPr>
              <w:t>6</w:t>
            </w:r>
            <w:r>
              <w:rPr>
                <w:rFonts w:hint="eastAsia" w:ascii="宋体" w:hAnsi="宋体" w:cs="宋体"/>
                <w:bCs/>
                <w:color w:val="000000" w:themeColor="text1"/>
                <w14:textFill>
                  <w14:solidFill>
                    <w14:schemeClr w14:val="tx1"/>
                  </w14:solidFill>
                </w14:textFill>
              </w:rPr>
              <w:t>分）</w:t>
            </w:r>
          </w:p>
        </w:tc>
        <w:tc>
          <w:tcPr>
            <w:tcW w:w="6029" w:type="dxa"/>
            <w:vAlign w:val="center"/>
          </w:tcPr>
          <w:p>
            <w:pPr>
              <w:spacing w:line="400" w:lineRule="exact"/>
              <w:rPr>
                <w:rFonts w:ascii="宋体" w:hAnsi="宋体" w:cs="宋体"/>
                <w:color w:val="000000"/>
              </w:rPr>
            </w:pPr>
            <w:r>
              <w:rPr>
                <w:rFonts w:hint="eastAsia" w:ascii="宋体" w:hAnsi="宋体" w:cs="宋体"/>
                <w:color w:val="000000"/>
              </w:rPr>
              <w:t>供应商近三年（自2021年1月1日至本项目递交响应文件截止时间止，以签订合同时间为准）具有同类项目业绩（响应文件中应提供合同复印件，复印件内容须体现为类似项目。同一个项目签订多份合同的只能计算一次，不重复计分）的，每项业绩得1分，满分6分。</w:t>
            </w:r>
          </w:p>
          <w:p>
            <w:pPr>
              <w:tabs>
                <w:tab w:val="left" w:pos="1160"/>
              </w:tabs>
              <w:spacing w:line="400" w:lineRule="exact"/>
              <w:rPr>
                <w:b/>
                <w:color w:val="000000" w:themeColor="text1"/>
                <w14:textFill>
                  <w14:solidFill>
                    <w14:schemeClr w14:val="tx1"/>
                  </w14:solidFill>
                </w14:textFill>
              </w:rPr>
            </w:pPr>
            <w:r>
              <w:rPr>
                <w:rFonts w:hint="eastAsia" w:ascii="宋体" w:hAnsi="宋体" w:cs="宋体"/>
                <w:color w:val="000000"/>
              </w:rPr>
              <w:t>注：类似项目是指</w:t>
            </w:r>
            <w:r>
              <w:rPr>
                <w:rFonts w:hint="eastAsia" w:ascii="宋体" w:hAnsi="宋体" w:cs="宋体"/>
                <w:b/>
                <w:bCs/>
                <w:color w:val="000000"/>
              </w:rPr>
              <w:t>行政事业单位或企业职工体检服务类项目</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4"/>
            <w:vAlign w:val="center"/>
          </w:tcPr>
          <w:p>
            <w:pPr>
              <w:pStyle w:val="10"/>
              <w:spacing w:line="400" w:lineRule="exact"/>
              <w:rPr>
                <w:rFonts w:hAnsi="宋体"/>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总得分=1+2+3。</w:t>
            </w:r>
          </w:p>
        </w:tc>
      </w:tr>
    </w:tbl>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2"/>
        <w:jc w:val="center"/>
        <w:rPr>
          <w:rFonts w:hint="default" w:cs="宋体"/>
          <w:color w:val="000000" w:themeColor="text1"/>
          <w:sz w:val="30"/>
          <w:szCs w:val="30"/>
          <w14:textFill>
            <w14:solidFill>
              <w14:schemeClr w14:val="tx1"/>
            </w14:solidFill>
          </w14:textFill>
        </w:rPr>
      </w:pPr>
      <w:bookmarkStart w:id="32" w:name="_Toc24599"/>
      <w:r>
        <w:rPr>
          <w:rFonts w:cs="宋体"/>
          <w:color w:val="000000" w:themeColor="text1"/>
          <w:sz w:val="30"/>
          <w:szCs w:val="30"/>
          <w14:textFill>
            <w14:solidFill>
              <w14:schemeClr w14:val="tx1"/>
            </w14:solidFill>
          </w14:textFill>
        </w:rPr>
        <w:t>第四章  采购合同文本</w:t>
      </w:r>
      <w:bookmarkEnd w:id="32"/>
    </w:p>
    <w:p>
      <w:pPr>
        <w:pStyle w:val="10"/>
        <w:jc w:val="center"/>
        <w:rPr>
          <w:rFonts w:hAnsi="宋体" w:cs="宋体"/>
          <w:bCs/>
          <w:color w:val="000000" w:themeColor="text1"/>
          <w:sz w:val="32"/>
          <w:szCs w:val="32"/>
          <w14:textFill>
            <w14:solidFill>
              <w14:schemeClr w14:val="tx1"/>
            </w14:solidFill>
          </w14:textFill>
        </w:rPr>
      </w:pPr>
      <w:r>
        <w:rPr>
          <w:rFonts w:hint="eastAsia" w:hAnsi="宋体" w:cs="宋体"/>
          <w:bCs/>
          <w:color w:val="000000" w:themeColor="text1"/>
          <w:sz w:val="32"/>
          <w:szCs w:val="32"/>
          <w14:textFill>
            <w14:solidFill>
              <w14:schemeClr w14:val="tx1"/>
            </w14:solidFill>
          </w14:textFill>
        </w:rPr>
        <w:t>合 同 书</w:t>
      </w:r>
    </w:p>
    <w:p>
      <w:pPr>
        <w:pStyle w:val="10"/>
        <w:jc w:val="center"/>
        <w:rPr>
          <w:rFonts w:hAnsi="宋体" w:cs="宋体"/>
          <w:bCs/>
          <w:color w:val="000000" w:themeColor="text1"/>
          <w:sz w:val="32"/>
          <w:szCs w:val="32"/>
          <w14:textFill>
            <w14:solidFill>
              <w14:schemeClr w14:val="tx1"/>
            </w14:solidFill>
          </w14:textFill>
        </w:rPr>
      </w:pPr>
    </w:p>
    <w:p>
      <w:pPr>
        <w:tabs>
          <w:tab w:val="left" w:pos="540"/>
          <w:tab w:val="left" w:pos="1080"/>
          <w:tab w:val="left" w:pos="1440"/>
        </w:tabs>
        <w:snapToGrid w:val="0"/>
        <w:jc w:val="center"/>
        <w:rPr>
          <w:rFonts w:ascii="宋体" w:hAnsi="宋体" w:cs="宋体"/>
          <w:color w:val="000000" w:themeColor="text1"/>
          <w:sz w:val="32"/>
          <w:szCs w:val="32"/>
          <w14:textFill>
            <w14:solidFill>
              <w14:schemeClr w14:val="tx1"/>
            </w14:solidFill>
          </w14:textFill>
        </w:rPr>
      </w:pPr>
    </w:p>
    <w:p>
      <w:pPr>
        <w:tabs>
          <w:tab w:val="left" w:pos="540"/>
          <w:tab w:val="left" w:pos="1080"/>
          <w:tab w:val="left" w:pos="1440"/>
        </w:tabs>
        <w:snapToGrid w:val="0"/>
        <w:jc w:val="center"/>
        <w:rPr>
          <w:rFonts w:ascii="宋体" w:hAnsi="宋体" w:cs="宋体"/>
          <w:color w:val="000000" w:themeColor="text1"/>
          <w:sz w:val="32"/>
          <w:szCs w:val="32"/>
          <w14:textFill>
            <w14:solidFill>
              <w14:schemeClr w14:val="tx1"/>
            </w14:solidFill>
          </w14:textFill>
        </w:rPr>
      </w:pPr>
    </w:p>
    <w:p>
      <w:pPr>
        <w:tabs>
          <w:tab w:val="left" w:pos="540"/>
          <w:tab w:val="left" w:pos="1080"/>
          <w:tab w:val="left" w:pos="1440"/>
        </w:tabs>
        <w:snapToGrid w:val="0"/>
        <w:jc w:val="center"/>
        <w:rPr>
          <w:rFonts w:ascii="宋体" w:hAnsi="宋体" w:cs="宋体"/>
          <w:color w:val="000000" w:themeColor="text1"/>
          <w:sz w:val="32"/>
          <w:szCs w:val="32"/>
          <w14:textFill>
            <w14:solidFill>
              <w14:schemeClr w14:val="tx1"/>
            </w14:solidFill>
          </w14:textFill>
        </w:rPr>
      </w:pPr>
    </w:p>
    <w:p>
      <w:pPr>
        <w:tabs>
          <w:tab w:val="left" w:pos="540"/>
          <w:tab w:val="left" w:pos="1080"/>
          <w:tab w:val="left" w:pos="1440"/>
        </w:tabs>
        <w:snapToGrid w:val="0"/>
        <w:ind w:left="1680" w:leftChars="800"/>
        <w:jc w:val="center"/>
        <w:rPr>
          <w:rFonts w:ascii="宋体" w:hAnsi="宋体" w:cs="宋体"/>
          <w:color w:val="000000" w:themeColor="text1"/>
          <w:sz w:val="32"/>
          <w:szCs w:val="32"/>
          <w14:textFill>
            <w14:solidFill>
              <w14:schemeClr w14:val="tx1"/>
            </w14:solidFill>
          </w14:textFill>
        </w:rPr>
      </w:pPr>
    </w:p>
    <w:p>
      <w:pPr>
        <w:tabs>
          <w:tab w:val="left" w:pos="2160"/>
        </w:tabs>
        <w:topLinePunct/>
        <w:autoSpaceDE w:val="0"/>
        <w:autoSpaceDN w:val="0"/>
        <w:snapToGrid w:val="0"/>
        <w:spacing w:line="360" w:lineRule="auto"/>
        <w:ind w:left="2100" w:leftChars="10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项目名称：</w:t>
      </w:r>
      <w:r>
        <w:rPr>
          <w:rFonts w:hint="eastAsia" w:ascii="宋体" w:hAnsi="宋体" w:cs="宋体"/>
          <w:bCs/>
          <w:color w:val="000000" w:themeColor="text1"/>
          <w:sz w:val="24"/>
          <w:szCs w:val="24"/>
          <w:u w:val="single"/>
          <w14:textFill>
            <w14:solidFill>
              <w14:schemeClr w14:val="tx1"/>
            </w14:solidFill>
          </w14:textFill>
        </w:rPr>
        <w:t xml:space="preserve">                   </w:t>
      </w:r>
    </w:p>
    <w:p>
      <w:pPr>
        <w:tabs>
          <w:tab w:val="left" w:pos="2160"/>
        </w:tabs>
        <w:topLinePunct/>
        <w:autoSpaceDE w:val="0"/>
        <w:autoSpaceDN w:val="0"/>
        <w:snapToGrid w:val="0"/>
        <w:spacing w:line="360" w:lineRule="auto"/>
        <w:ind w:left="2100" w:leftChars="10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包    号：</w:t>
      </w:r>
      <w:r>
        <w:rPr>
          <w:rFonts w:hint="eastAsia" w:ascii="宋体" w:hAnsi="宋体" w:cs="宋体"/>
          <w:bCs/>
          <w:color w:val="000000" w:themeColor="text1"/>
          <w:sz w:val="24"/>
          <w:szCs w:val="24"/>
          <w:u w:val="single"/>
          <w14:textFill>
            <w14:solidFill>
              <w14:schemeClr w14:val="tx1"/>
            </w14:solidFill>
          </w14:textFill>
        </w:rPr>
        <w:t xml:space="preserve">                   </w:t>
      </w:r>
    </w:p>
    <w:p>
      <w:pPr>
        <w:tabs>
          <w:tab w:val="left" w:pos="540"/>
          <w:tab w:val="left" w:pos="1080"/>
          <w:tab w:val="left" w:pos="1440"/>
        </w:tabs>
        <w:snapToGrid w:val="0"/>
        <w:spacing w:line="360" w:lineRule="auto"/>
        <w:ind w:left="2100" w:leftChars="10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合同编号：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 </w:t>
      </w:r>
    </w:p>
    <w:p>
      <w:pPr>
        <w:tabs>
          <w:tab w:val="left" w:pos="2160"/>
        </w:tabs>
        <w:topLinePunct/>
        <w:autoSpaceDE w:val="0"/>
        <w:autoSpaceDN w:val="0"/>
        <w:snapToGrid w:val="0"/>
        <w:spacing w:line="360" w:lineRule="auto"/>
        <w:ind w:left="2880" w:leftChars="800" w:hanging="1200" w:hangingChars="500"/>
        <w:rPr>
          <w:rFonts w:ascii="宋体" w:hAnsi="宋体" w:cs="宋体"/>
          <w:bCs/>
          <w:color w:val="000000" w:themeColor="text1"/>
          <w:sz w:val="24"/>
          <w:szCs w:val="24"/>
          <w14:textFill>
            <w14:solidFill>
              <w14:schemeClr w14:val="tx1"/>
            </w14:solidFill>
          </w14:textFill>
        </w:rPr>
      </w:pPr>
    </w:p>
    <w:p>
      <w:pPr>
        <w:pStyle w:val="10"/>
        <w:spacing w:line="460" w:lineRule="exact"/>
        <w:jc w:val="center"/>
        <w:rPr>
          <w:rFonts w:hAnsi="宋体" w:cs="宋体"/>
          <w:bCs/>
          <w:color w:val="000000" w:themeColor="text1"/>
          <w:sz w:val="24"/>
          <w:szCs w:val="24"/>
          <w14:textFill>
            <w14:solidFill>
              <w14:schemeClr w14:val="tx1"/>
            </w14:solidFill>
          </w14:textFill>
        </w:rPr>
      </w:pPr>
    </w:p>
    <w:p>
      <w:pPr>
        <w:pStyle w:val="10"/>
        <w:tabs>
          <w:tab w:val="left" w:pos="3045"/>
        </w:tabs>
        <w:spacing w:line="460" w:lineRule="exact"/>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ab/>
      </w:r>
    </w:p>
    <w:p>
      <w:pPr>
        <w:pStyle w:val="10"/>
        <w:spacing w:line="460" w:lineRule="exact"/>
        <w:rPr>
          <w:rFonts w:hAnsi="宋体" w:cs="宋体"/>
          <w:bCs/>
          <w:color w:val="000000" w:themeColor="text1"/>
          <w:sz w:val="24"/>
          <w:szCs w:val="24"/>
          <w14:textFill>
            <w14:solidFill>
              <w14:schemeClr w14:val="tx1"/>
            </w14:solidFill>
          </w14:textFill>
        </w:rPr>
      </w:pPr>
    </w:p>
    <w:p>
      <w:pPr>
        <w:pStyle w:val="10"/>
        <w:spacing w:line="460" w:lineRule="exact"/>
        <w:jc w:val="center"/>
        <w:rPr>
          <w:rFonts w:hAnsi="宋体" w:cs="宋体"/>
          <w:bCs/>
          <w:color w:val="000000" w:themeColor="text1"/>
          <w:sz w:val="24"/>
          <w:szCs w:val="24"/>
          <w14:textFill>
            <w14:solidFill>
              <w14:schemeClr w14:val="tx1"/>
            </w14:solidFill>
          </w14:textFill>
        </w:rPr>
      </w:pPr>
    </w:p>
    <w:p>
      <w:pPr>
        <w:spacing w:line="300" w:lineRule="auto"/>
        <w:ind w:left="840" w:leftChars="400" w:firstLine="1298" w:firstLineChars="54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甲    方： </w:t>
      </w:r>
      <w:r>
        <w:rPr>
          <w:rFonts w:hint="eastAsia" w:ascii="宋体" w:hAnsi="宋体" w:cs="宋体"/>
          <w:bCs/>
          <w:color w:val="000000" w:themeColor="text1"/>
          <w:sz w:val="24"/>
          <w:szCs w:val="24"/>
          <w:u w:val="single"/>
          <w14:textFill>
            <w14:solidFill>
              <w14:schemeClr w14:val="tx1"/>
            </w14:solidFill>
          </w14:textFill>
        </w:rPr>
        <w:t>国家税务总局南宁市良庆区税务局</w:t>
      </w:r>
    </w:p>
    <w:p>
      <w:pPr>
        <w:spacing w:line="300" w:lineRule="auto"/>
        <w:ind w:left="840" w:leftChars="400" w:firstLine="1298" w:firstLineChars="541"/>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乙    方： </w:t>
      </w:r>
      <w:r>
        <w:rPr>
          <w:rFonts w:hint="eastAsia" w:ascii="宋体" w:hAnsi="宋体" w:cs="宋体"/>
          <w:bCs/>
          <w:color w:val="000000" w:themeColor="text1"/>
          <w:sz w:val="24"/>
          <w:szCs w:val="24"/>
          <w:u w:val="single"/>
          <w14:textFill>
            <w14:solidFill>
              <w14:schemeClr w14:val="tx1"/>
            </w14:solidFill>
          </w14:textFill>
        </w:rPr>
        <w:t xml:space="preserve">                         </w:t>
      </w:r>
    </w:p>
    <w:p>
      <w:pPr>
        <w:spacing w:line="300" w:lineRule="auto"/>
        <w:ind w:left="840" w:leftChars="400" w:firstLine="1298" w:firstLineChars="541"/>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日    期： </w:t>
      </w:r>
      <w:r>
        <w:rPr>
          <w:rFonts w:hint="eastAsia" w:ascii="宋体" w:hAnsi="宋体" w:cs="宋体"/>
          <w:bCs/>
          <w:color w:val="000000" w:themeColor="text1"/>
          <w:sz w:val="24"/>
          <w:szCs w:val="24"/>
          <w:u w:val="single"/>
          <w14:textFill>
            <w14:solidFill>
              <w14:schemeClr w14:val="tx1"/>
            </w14:solidFill>
          </w14:textFill>
        </w:rPr>
        <w:t xml:space="preserve">        年    月   日</w:t>
      </w:r>
    </w:p>
    <w:p>
      <w:pPr>
        <w:spacing w:line="30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u w:val="single"/>
          <w14:textFill>
            <w14:solidFill>
              <w14:schemeClr w14:val="tx1"/>
            </w14:solidFill>
          </w14:textFill>
        </w:rPr>
        <w:br w:type="page"/>
      </w:r>
      <w:r>
        <w:rPr>
          <w:rFonts w:hint="eastAsia" w:ascii="宋体" w:hAnsi="宋体" w:cs="宋体"/>
          <w:b/>
          <w:color w:val="000000" w:themeColor="text1"/>
          <w:sz w:val="24"/>
          <w:szCs w:val="24"/>
          <w14:textFill>
            <w14:solidFill>
              <w14:schemeClr w14:val="tx1"/>
            </w14:solidFill>
          </w14:textFill>
        </w:rPr>
        <w:t>合同条款前附表</w:t>
      </w:r>
    </w:p>
    <w:tbl>
      <w:tblPr>
        <w:tblStyle w:val="19"/>
        <w:tblpPr w:leftFromText="180" w:rightFromText="180" w:vertAnchor="text" w:horzAnchor="page" w:tblpX="1487" w:tblpY="525"/>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8418" w:type="dxa"/>
            <w:gridSpan w:val="3"/>
            <w:vAlign w:val="center"/>
          </w:tcPr>
          <w:p>
            <w:pPr>
              <w:tabs>
                <w:tab w:val="left" w:pos="700"/>
              </w:tabs>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合同名称</w:t>
            </w:r>
          </w:p>
        </w:tc>
        <w:tc>
          <w:tcPr>
            <w:tcW w:w="5995" w:type="dxa"/>
            <w:vAlign w:val="center"/>
          </w:tcPr>
          <w:p>
            <w:pPr>
              <w:tabs>
                <w:tab w:val="left" w:pos="700"/>
              </w:tabs>
              <w:adjustRightInd w:val="0"/>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国家税务总局南宁市良庆区税务局2025年体检服务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合同编号</w:t>
            </w:r>
          </w:p>
        </w:tc>
        <w:tc>
          <w:tcPr>
            <w:tcW w:w="5995" w:type="dxa"/>
            <w:vAlign w:val="center"/>
          </w:tcPr>
          <w:p>
            <w:pPr>
              <w:tabs>
                <w:tab w:val="left" w:pos="2160"/>
              </w:tabs>
              <w:topLinePunct/>
              <w:autoSpaceDE w:val="0"/>
              <w:autoSpaceDN w:val="0"/>
              <w:adjustRightInd w:val="0"/>
              <w:snapToGrid w:val="0"/>
              <w:spacing w:line="360" w:lineRule="auto"/>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合同类型</w:t>
            </w:r>
          </w:p>
        </w:tc>
        <w:tc>
          <w:tcPr>
            <w:tcW w:w="5995" w:type="dxa"/>
            <w:vAlign w:val="center"/>
          </w:tcPr>
          <w:p>
            <w:pPr>
              <w:tabs>
                <w:tab w:val="left" w:pos="2160"/>
              </w:tabs>
              <w:topLinePunct/>
              <w:autoSpaceDE w:val="0"/>
              <w:autoSpaceDN w:val="0"/>
              <w:adjustRightInd w:val="0"/>
              <w:snapToGrid w:val="0"/>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非信息化服务类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定价方式</w:t>
            </w:r>
          </w:p>
        </w:tc>
        <w:tc>
          <w:tcPr>
            <w:tcW w:w="5995" w:type="dxa"/>
            <w:vAlign w:val="center"/>
          </w:tcPr>
          <w:p>
            <w:pPr>
              <w:tabs>
                <w:tab w:val="left" w:pos="2160"/>
              </w:tabs>
              <w:topLinePunct/>
              <w:autoSpaceDE w:val="0"/>
              <w:autoSpaceDN w:val="0"/>
              <w:adjustRightInd w:val="0"/>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甲方名称</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国家税务总局南宁市良庆区税务局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甲方地址</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rPr>
              <w:t>南宁市良庆区玉洞大道33号南宁市民中心D823办公室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restart"/>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甲方相关部门</w:t>
            </w: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甲方采购部门</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995" w:type="dxa"/>
            <w:vAlign w:val="center"/>
          </w:tcPr>
          <w:p>
            <w:pPr>
              <w:pStyle w:val="10"/>
              <w:spacing w:line="360" w:lineRule="auto"/>
              <w:jc w:val="left"/>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甲方需求部门</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409" w:type="dxa"/>
            <w:vMerge w:val="continue"/>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2014"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乙方名称</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乙方企业性质</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中型企业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小型企业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微型企业    </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监狱企业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残疾人福利性单位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乙方地址</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乙方联系人</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vAlign w:val="center"/>
          </w:tcPr>
          <w:p>
            <w:pPr>
              <w:widowControl/>
              <w:adjustRightInd w:val="0"/>
              <w:snapToGrid w:val="0"/>
              <w:spacing w:line="360" w:lineRule="auto"/>
              <w:rPr>
                <w:rFonts w:ascii="宋体" w:hAnsi="宋体" w:cs="宋体"/>
                <w:color w:val="000000" w:themeColor="text1"/>
                <w:szCs w:val="21"/>
                <w14:textFill>
                  <w14:solidFill>
                    <w14:schemeClr w14:val="tx1"/>
                  </w14:solidFill>
                </w14:textFill>
              </w:rPr>
            </w:pP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423" w:type="dxa"/>
            <w:gridSpan w:val="2"/>
            <w:vAlign w:val="center"/>
          </w:tcPr>
          <w:p>
            <w:pPr>
              <w:tabs>
                <w:tab w:val="left" w:pos="700"/>
              </w:tabs>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w:t>
            </w:r>
          </w:p>
        </w:tc>
        <w:tc>
          <w:tcPr>
            <w:tcW w:w="5995" w:type="dxa"/>
            <w:vAlign w:val="center"/>
          </w:tcPr>
          <w:p>
            <w:pPr>
              <w:tabs>
                <w:tab w:val="left" w:pos="700"/>
              </w:tabs>
              <w:topLinePunct/>
              <w:autoSpaceDE w:val="0"/>
              <w:autoSpaceDN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合同总金额（暂计）为        元，以实际体检人数及对应的套餐价格进行结算。</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各套餐价格如下：</w:t>
            </w:r>
          </w:p>
          <w:p>
            <w:pPr>
              <w:tabs>
                <w:tab w:val="left" w:pos="700"/>
              </w:tabs>
              <w:topLinePunct/>
              <w:autoSpaceDE w:val="0"/>
              <w:autoSpaceDN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套餐①（肺癌筛查）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套餐②（内分泌代谢性疾病筛查）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套餐③（心血管疾病筛查）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套餐④（脑血管疾病筛查）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套餐⑤（消化系统筛查）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套餐⑥（综合套餐）</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套餐⑦（协税员套餐）</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423" w:type="dxa"/>
            <w:gridSpan w:val="2"/>
            <w:vAlign w:val="center"/>
          </w:tcPr>
          <w:p>
            <w:pPr>
              <w:tabs>
                <w:tab w:val="left" w:pos="700"/>
              </w:tabs>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5995" w:type="dxa"/>
            <w:vAlign w:val="center"/>
          </w:tcPr>
          <w:p>
            <w:pPr>
              <w:tabs>
                <w:tab w:val="left" w:pos="700"/>
              </w:tabs>
              <w:adjustRightInd w:val="0"/>
              <w:snapToGrid w:val="0"/>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国家税务总局南宁市良庆区税务局2025年体检服务，详见磋商文件项目采购需求。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合同付款</w:t>
            </w:r>
          </w:p>
        </w:tc>
        <w:tc>
          <w:tcPr>
            <w:tcW w:w="5995" w:type="dxa"/>
            <w:vAlign w:val="center"/>
          </w:tcPr>
          <w:p>
            <w:pPr>
              <w:tabs>
                <w:tab w:val="center" w:pos="4890"/>
              </w:tabs>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合同以人民币结算，付款方式：</w:t>
            </w:r>
          </w:p>
          <w:p>
            <w:pPr>
              <w:tabs>
                <w:tab w:val="center" w:pos="489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检结束，甲方收到所有体检报告、资料后，根据最终核定的体检人数及检查内容据实结算最终的费用，确定结算结果后通过银行对公转账一次性结清费用。付款前，乙方应提供合法合规税务发票，甲方在收到发票后10个工作日内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履约保证金及返还</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本项目不要求提供履约保证金。</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□本项目要求提供履约保证金。履约保证金为人民币</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r>
              <w:rPr>
                <w:rFonts w:hint="eastAsia" w:cs="Calibri"/>
                <w:color w:val="000000" w:themeColor="text1"/>
                <w14:textFill>
                  <w14:solidFill>
                    <w14:schemeClr w14:val="tx1"/>
                  </w14:solidFill>
                </w14:textFill>
              </w:rPr>
              <w:t>乙方</w:t>
            </w:r>
            <w:r>
              <w:rPr>
                <w:rFonts w:hAnsi="宋体"/>
                <w:color w:val="000000" w:themeColor="text1"/>
                <w14:textFill>
                  <w14:solidFill>
                    <w14:schemeClr w14:val="tx1"/>
                  </w14:solidFill>
                </w14:textFill>
              </w:rPr>
              <w:t>在签订合同前</w:t>
            </w:r>
            <w:r>
              <w:rPr>
                <w:rFonts w:hint="eastAsia" w:hAnsi="宋体"/>
                <w:color w:val="000000" w:themeColor="text1"/>
                <w14:textFill>
                  <w14:solidFill>
                    <w14:schemeClr w14:val="tx1"/>
                  </w14:solidFill>
                </w14:textFill>
              </w:rPr>
              <w:t>应提交履约保证金，</w:t>
            </w:r>
            <w:r>
              <w:rPr>
                <w:rFonts w:hAnsi="宋体"/>
                <w:color w:val="000000" w:themeColor="text1"/>
                <w14:textFill>
                  <w14:solidFill>
                    <w14:schemeClr w14:val="tx1"/>
                  </w14:solidFill>
                </w14:textFill>
              </w:rPr>
              <w:t>否则，不予签订合同</w:t>
            </w:r>
            <w:r>
              <w:rPr>
                <w:rFonts w:hint="eastAsia" w:ascii="宋体" w:hAnsi="宋体" w:cs="宋体"/>
                <w:color w:val="000000" w:themeColor="text1"/>
                <w:szCs w:val="21"/>
                <w14:textFill>
                  <w14:solidFill>
                    <w14:schemeClr w14:val="tx1"/>
                  </w14:solidFill>
                </w14:textFill>
              </w:rPr>
              <w:t>。提交方式为银行电汇、金融机构或担保机构出具的保函。在合同履行期满，扣除应扣除的款项（如有）且双方无争议后，无息返还。</w:t>
            </w:r>
          </w:p>
          <w:p>
            <w:pPr>
              <w:tabs>
                <w:tab w:val="left" w:pos="700"/>
              </w:tabs>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满足履约保证金返还条件的，甲方在收到返还相关信息等合同约定资料后，进行核实。对核实结果无异议的，自完成核实之日起30日内，以</w:t>
            </w:r>
            <w:r>
              <w:rPr>
                <w:rFonts w:hint="eastAsia" w:ascii="宋体" w:hAnsi="宋体" w:cs="宋体"/>
                <w:color w:val="000000" w:themeColor="text1"/>
                <w:szCs w:val="21"/>
                <w:u w:val="single"/>
                <w14:textFill>
                  <w14:solidFill>
                    <w14:schemeClr w14:val="tx1"/>
                  </w14:solidFill>
                </w14:textFill>
              </w:rPr>
              <w:t>银行转账</w:t>
            </w:r>
            <w:r>
              <w:rPr>
                <w:rFonts w:hint="eastAsia" w:ascii="宋体" w:hAnsi="宋体" w:cs="宋体"/>
                <w:color w:val="000000" w:themeColor="text1"/>
                <w:szCs w:val="21"/>
                <w14:textFill>
                  <w14:solidFill>
                    <w14:schemeClr w14:val="tx1"/>
                  </w14:solidFill>
                </w14:textFill>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3" w:type="dxa"/>
            <w:gridSpan w:val="2"/>
            <w:vAlign w:val="center"/>
          </w:tcPr>
          <w:p>
            <w:pPr>
              <w:tabs>
                <w:tab w:val="left" w:pos="700"/>
              </w:tabs>
              <w:adjustRightInd w:val="0"/>
              <w:snapToGrid w:val="0"/>
              <w:spacing w:line="380" w:lineRule="exact"/>
              <w:jc w:val="center"/>
              <w:rPr>
                <w:rFonts w:ascii="宋体" w:hAnsi="宋体" w:cs="宋体"/>
                <w:color w:val="000000" w:themeColor="text1"/>
                <w:szCs w:val="21"/>
                <w:lang w:val="en"/>
                <w14:textFill>
                  <w14:solidFill>
                    <w14:schemeClr w14:val="tx1"/>
                  </w14:solidFill>
                </w14:textFill>
              </w:rPr>
            </w:pPr>
            <w:r>
              <w:rPr>
                <w:rFonts w:ascii="宋体" w:hAnsi="宋体"/>
                <w:color w:val="000000" w:themeColor="text1"/>
                <w:szCs w:val="21"/>
                <w14:textFill>
                  <w14:solidFill>
                    <w14:schemeClr w14:val="tx1"/>
                  </w14:solidFill>
                </w14:textFill>
              </w:rPr>
              <w:t>合同履行期限</w:t>
            </w:r>
          </w:p>
        </w:tc>
        <w:tc>
          <w:tcPr>
            <w:tcW w:w="5995" w:type="dxa"/>
            <w:vAlign w:val="center"/>
          </w:tcPr>
          <w:p>
            <w:pPr>
              <w:tabs>
                <w:tab w:val="left" w:pos="700"/>
              </w:tabs>
              <w:adjustRightInd w:val="0"/>
              <w:snapToGrid w:val="0"/>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自签订合同之日起至2025年12月31日止，服务期内须完成甲方在职职工及退休人员的体检服务（以实际体检人员数量为准）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合同履约地点</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rPr>
              <w:t>广西南宁市区供应商体检中心（具体地址为              ）</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423" w:type="dxa"/>
            <w:gridSpan w:val="2"/>
            <w:vAlign w:val="center"/>
          </w:tcPr>
          <w:p>
            <w:pPr>
              <w:tabs>
                <w:tab w:val="left" w:pos="700"/>
              </w:tabs>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合同纠纷解决方式</w:t>
            </w:r>
          </w:p>
        </w:tc>
        <w:tc>
          <w:tcPr>
            <w:tcW w:w="5995" w:type="dxa"/>
            <w:vAlign w:val="center"/>
          </w:tcPr>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甲乙双方应首先通过友好协商解决在执行本合同中所发生的或与本合同有关的一切争端。如从协商开始</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天内仍不能解决，可以选择以下途径之一解决纠纷：</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□向甲方所在地仲裁委员会或</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仲裁委员会申请仲裁</w:t>
            </w:r>
          </w:p>
          <w:p>
            <w:pPr>
              <w:tabs>
                <w:tab w:val="left" w:pos="700"/>
              </w:tabs>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☑向甲方所在地人民法院提起诉讼</w:t>
            </w:r>
          </w:p>
        </w:tc>
      </w:tr>
    </w:tbl>
    <w:p>
      <w:pPr>
        <w:tabs>
          <w:tab w:val="left" w:pos="700"/>
        </w:tabs>
        <w:topLinePunct/>
        <w:autoSpaceDE w:val="0"/>
        <w:autoSpaceDN w:val="0"/>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8"/>
          <w14:textFill>
            <w14:solidFill>
              <w14:schemeClr w14:val="tx1"/>
            </w14:solidFill>
          </w14:textFill>
        </w:rPr>
        <w:br w:type="page"/>
      </w:r>
    </w:p>
    <w:p>
      <w:pPr>
        <w:tabs>
          <w:tab w:val="left" w:pos="0"/>
        </w:tabs>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   合  同 </w:t>
      </w:r>
    </w:p>
    <w:p>
      <w:pPr>
        <w:tabs>
          <w:tab w:val="left" w:pos="540"/>
        </w:tabs>
        <w:topLinePunct/>
        <w:autoSpaceDE w:val="0"/>
        <w:autoSpaceDN w:val="0"/>
        <w:spacing w:line="460" w:lineRule="exact"/>
        <w:rPr>
          <w:rFonts w:ascii="宋体" w:hAnsi="宋体" w:cs="宋体"/>
          <w:b/>
          <w:color w:val="000000" w:themeColor="text1"/>
          <w:sz w:val="24"/>
          <w14:textFill>
            <w14:solidFill>
              <w14:schemeClr w14:val="tx1"/>
            </w14:solidFill>
          </w14:textFill>
        </w:rPr>
      </w:pP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国家税务总局南宁市良庆区税务局</w:t>
      </w:r>
      <w:r>
        <w:rPr>
          <w:rFonts w:ascii="Times New Roman" w:hAnsi="Times New Roman"/>
          <w:color w:val="000000" w:themeColor="text1"/>
          <w:szCs w:val="21"/>
          <w14:textFill>
            <w14:solidFill>
              <w14:schemeClr w14:val="tx1"/>
            </w14:solidFill>
          </w14:textFill>
        </w:rPr>
        <w:t>（以下简称“甲方”）通过</w:t>
      </w:r>
      <w:r>
        <w:rPr>
          <w:rFonts w:hint="eastAsia" w:ascii="Times New Roman" w:hAnsi="Times New Roman"/>
          <w:color w:val="000000" w:themeColor="text1"/>
          <w:szCs w:val="21"/>
          <w:u w:val="single"/>
          <w14:textFill>
            <w14:solidFill>
              <w14:schemeClr w14:val="tx1"/>
            </w14:solidFill>
          </w14:textFill>
        </w:rPr>
        <w:t>磋商</w:t>
      </w:r>
      <w:r>
        <w:rPr>
          <w:rFonts w:hint="eastAsia" w:ascii="Times New Roman" w:hAnsi="Times New Roman"/>
          <w:color w:val="000000" w:themeColor="text1"/>
          <w:szCs w:val="21"/>
          <w14:textFill>
            <w14:solidFill>
              <w14:schemeClr w14:val="tx1"/>
            </w14:solidFill>
          </w14:textFill>
        </w:rPr>
        <w:t>方</w:t>
      </w:r>
      <w:r>
        <w:rPr>
          <w:rFonts w:ascii="Times New Roman" w:hAnsi="Times New Roman"/>
          <w:color w:val="000000" w:themeColor="text1"/>
          <w:szCs w:val="21"/>
          <w14:textFill>
            <w14:solidFill>
              <w14:schemeClr w14:val="tx1"/>
            </w14:solidFill>
          </w14:textFill>
        </w:rPr>
        <w:t>式采购，确定_____公司（以下简称“乙方”）为</w:t>
      </w:r>
      <w:r>
        <w:rPr>
          <w:rFonts w:hint="eastAsia"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国家税务总局南宁市良庆区税务局2025年体检服务</w:t>
      </w:r>
      <w:r>
        <w:rPr>
          <w:rFonts w:hint="eastAsia" w:ascii="Times New Roman" w:hAnsi="Times New Roman"/>
          <w:color w:val="000000" w:themeColor="text1"/>
          <w:szCs w:val="21"/>
          <w14:textFill>
            <w14:solidFill>
              <w14:schemeClr w14:val="tx1"/>
            </w14:solidFill>
          </w14:textFill>
        </w:rPr>
        <w:t>”项目成交</w:t>
      </w:r>
      <w:r>
        <w:rPr>
          <w:rFonts w:ascii="Times New Roman" w:hAnsi="Times New Roman"/>
          <w:color w:val="000000" w:themeColor="text1"/>
          <w:szCs w:val="21"/>
          <w14:textFill>
            <w14:solidFill>
              <w14:schemeClr w14:val="tx1"/>
            </w14:solidFill>
          </w14:textFill>
        </w:rPr>
        <w:t>供应商。甲乙双方同意按照该项目</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文件约定的内容，签署《</w:t>
      </w:r>
      <w:r>
        <w:rPr>
          <w:rFonts w:hint="eastAsia" w:ascii="宋体" w:hAnsi="宋体" w:cs="宋体"/>
          <w:color w:val="000000" w:themeColor="text1"/>
          <w:szCs w:val="21"/>
          <w14:textFill>
            <w14:solidFill>
              <w14:schemeClr w14:val="tx1"/>
            </w14:solidFill>
          </w14:textFill>
        </w:rPr>
        <w:t>国家税务总局南宁市良庆区税务局2025年体检服务</w:t>
      </w:r>
      <w:r>
        <w:rPr>
          <w:rFonts w:ascii="Times New Roman" w:hAnsi="Times New Roman"/>
          <w:color w:val="000000" w:themeColor="text1"/>
          <w:szCs w:val="21"/>
          <w14:textFill>
            <w14:solidFill>
              <w14:schemeClr w14:val="tx1"/>
            </w14:solidFill>
          </w14:textFill>
        </w:rPr>
        <w:t>合同书》（合同编号：</w:t>
      </w:r>
      <w:r>
        <w:rPr>
          <w:rFonts w:hint="eastAsia"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，以下简称“合同”</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w:t>
      </w:r>
    </w:p>
    <w:p>
      <w:pPr>
        <w:topLinePunct/>
        <w:autoSpaceDE w:val="0"/>
        <w:autoSpaceDN w:val="0"/>
        <w:snapToGrid w:val="0"/>
        <w:spacing w:line="360" w:lineRule="auto"/>
        <w:ind w:left="482"/>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 合同文件</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本合同所附下列文件是构成本合同不可分割的部分：</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（1）合同通用条款；</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最后</w:t>
      </w:r>
      <w:r>
        <w:rPr>
          <w:rFonts w:ascii="Times New Roman" w:hAnsi="Times New Roman"/>
          <w:color w:val="000000" w:themeColor="text1"/>
          <w:szCs w:val="21"/>
          <w14:textFill>
            <w14:solidFill>
              <w14:schemeClr w14:val="tx1"/>
            </w14:solidFill>
          </w14:textFill>
        </w:rPr>
        <w:t>报价表；</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响应</w:t>
      </w:r>
      <w:r>
        <w:rPr>
          <w:rFonts w:ascii="Times New Roman" w:hAnsi="Times New Roman"/>
          <w:color w:val="000000" w:themeColor="text1"/>
          <w:szCs w:val="21"/>
          <w14:textFill>
            <w14:solidFill>
              <w14:schemeClr w14:val="tx1"/>
            </w14:solidFill>
          </w14:textFill>
        </w:rPr>
        <w:t>文件。</w:t>
      </w:r>
    </w:p>
    <w:p>
      <w:pPr>
        <w:topLinePunct/>
        <w:autoSpaceDE w:val="0"/>
        <w:autoSpaceDN w:val="0"/>
        <w:snapToGrid w:val="0"/>
        <w:spacing w:line="360" w:lineRule="auto"/>
        <w:ind w:left="482"/>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 合同范围和条件</w:t>
      </w:r>
    </w:p>
    <w:p>
      <w:pPr>
        <w:tabs>
          <w:tab w:val="left" w:pos="700"/>
        </w:tabs>
        <w:topLinePunct/>
        <w:autoSpaceDE w:val="0"/>
        <w:autoSpaceDN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本合同的范围和条件应与上述合同文件的规定相一致。</w:t>
      </w:r>
    </w:p>
    <w:p>
      <w:pPr>
        <w:tabs>
          <w:tab w:val="left" w:pos="700"/>
        </w:tabs>
        <w:topLinePunct/>
        <w:autoSpaceDE w:val="0"/>
        <w:autoSpaceDN w:val="0"/>
        <w:snapToGrid w:val="0"/>
        <w:spacing w:line="360" w:lineRule="auto"/>
        <w:ind w:firstLine="413" w:firstLineChars="196"/>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 xml:space="preserve">3. </w:t>
      </w:r>
      <w:r>
        <w:rPr>
          <w:rFonts w:hint="eastAsia" w:ascii="Times New Roman" w:hAnsi="Times New Roman"/>
          <w:b/>
          <w:color w:val="000000" w:themeColor="text1"/>
          <w:szCs w:val="21"/>
          <w14:textFill>
            <w14:solidFill>
              <w14:schemeClr w14:val="tx1"/>
            </w14:solidFill>
          </w14:textFill>
        </w:rPr>
        <w:t>合同金额</w:t>
      </w:r>
    </w:p>
    <w:p>
      <w:pPr>
        <w:tabs>
          <w:tab w:val="left" w:pos="700"/>
        </w:tabs>
        <w:topLinePunct/>
        <w:autoSpaceDE w:val="0"/>
        <w:autoSpaceDN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合同总金额（暂计）为 </w:t>
      </w:r>
      <w:r>
        <w:rPr>
          <w:rFonts w:hint="eastAsia" w:ascii="宋体" w:hAnsi="宋体"/>
          <w:color w:val="000000" w:themeColor="text1"/>
          <w:szCs w:val="21"/>
          <w:lang w:val="en-US" w:eastAsia="zh-CN"/>
          <w14:textFill>
            <w14:solidFill>
              <w14:schemeClr w14:val="tx1"/>
            </w14:solidFill>
          </w14:textFill>
        </w:rPr>
        <w:t>445000.00</w:t>
      </w:r>
      <w:r>
        <w:rPr>
          <w:rFonts w:hint="eastAsia" w:ascii="宋体" w:hAnsi="宋体"/>
          <w:color w:val="000000" w:themeColor="text1"/>
          <w:szCs w:val="21"/>
          <w14:textFill>
            <w14:solidFill>
              <w14:schemeClr w14:val="tx1"/>
            </w14:solidFill>
          </w14:textFill>
        </w:rPr>
        <w:t>元，以实际体检人数及对应的套餐价格进行结算。</w:t>
      </w:r>
    </w:p>
    <w:p>
      <w:pPr>
        <w:tabs>
          <w:tab w:val="left" w:pos="700"/>
        </w:tabs>
        <w:topLinePunct/>
        <w:autoSpaceDE w:val="0"/>
        <w:autoSpaceDN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套餐①（肺癌筛查）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套餐②（内分泌代谢性疾病筛查）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套餐③（心血管疾病筛查）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套餐④（脑血管疾病筛查）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套餐⑤（消化系统筛查）</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套餐⑥（综合套餐）</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套餐⑦（协税员套餐）</w:t>
      </w:r>
      <w:r>
        <w:rPr>
          <w:rFonts w:ascii="Times New Roman" w:hAnsi="Times New Roman"/>
          <w:color w:val="000000" w:themeColor="text1"/>
          <w:szCs w:val="21"/>
          <w14:textFill>
            <w14:solidFill>
              <w14:schemeClr w14:val="tx1"/>
            </w14:solidFill>
          </w14:textFill>
        </w:rPr>
        <w:t>人民币</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元整（¥</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tabs>
          <w:tab w:val="left" w:pos="700"/>
        </w:tabs>
        <w:topLinePunct/>
        <w:autoSpaceDE w:val="0"/>
        <w:autoSpaceDN w:val="0"/>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lang w:val="en"/>
          <w14:textFill>
            <w14:solidFill>
              <w14:schemeClr w14:val="tx1"/>
            </w14:solidFill>
          </w14:textFill>
        </w:rPr>
        <w:t>4.</w:t>
      </w:r>
      <w:r>
        <w:rPr>
          <w:rFonts w:ascii="Times New Roman" w:hAnsi="Times New Roman"/>
          <w:b/>
          <w:color w:val="000000" w:themeColor="text1"/>
          <w:szCs w:val="21"/>
          <w14:textFill>
            <w14:solidFill>
              <w14:schemeClr w14:val="tx1"/>
            </w14:solidFill>
          </w14:textFill>
        </w:rPr>
        <w:t>付款条件</w:t>
      </w:r>
    </w:p>
    <w:p>
      <w:pPr>
        <w:pStyle w:val="30"/>
        <w:tabs>
          <w:tab w:val="left" w:pos="840"/>
        </w:tabs>
        <w:adjustRightInd w:val="0"/>
        <w:snapToGrid w:val="0"/>
        <w:spacing w:line="360" w:lineRule="auto"/>
        <w:ind w:firstLine="420" w:firstLineChars="200"/>
        <w:jc w:val="both"/>
        <w:textAlignment w:val="baseline"/>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合同以人民币结算，付款方式：</w:t>
      </w:r>
    </w:p>
    <w:p>
      <w:pPr>
        <w:pStyle w:val="30"/>
        <w:tabs>
          <w:tab w:val="left" w:pos="840"/>
        </w:tabs>
        <w:adjustRightInd w:val="0"/>
        <w:snapToGrid w:val="0"/>
        <w:spacing w:line="360" w:lineRule="auto"/>
        <w:ind w:firstLine="420" w:firstLineChars="200"/>
        <w:jc w:val="both"/>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检结束，甲方收到所有体检报告、资料后，根据最终核定的体检人数及检查内容据实结算最终的费用，确定结算结果后通过银行对公转账一次性结清费用。付款前，乙方应提供合法合规税务发票，甲方在收到发票后10个工作日内支付款项。</w:t>
      </w:r>
    </w:p>
    <w:p>
      <w:pPr>
        <w:pStyle w:val="30"/>
        <w:tabs>
          <w:tab w:val="left" w:pos="840"/>
        </w:tabs>
        <w:adjustRightInd w:val="0"/>
        <w:snapToGrid w:val="0"/>
        <w:spacing w:line="360" w:lineRule="auto"/>
        <w:ind w:firstLine="422" w:firstLineChars="200"/>
        <w:jc w:val="both"/>
        <w:textAlignment w:val="baseline"/>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5. 合同签订及生效</w:t>
      </w:r>
    </w:p>
    <w:p>
      <w:pPr>
        <w:pStyle w:val="30"/>
        <w:tabs>
          <w:tab w:val="left" w:pos="840"/>
        </w:tabs>
        <w:adjustRightInd w:val="0"/>
        <w:snapToGrid w:val="0"/>
        <w:spacing w:line="360" w:lineRule="auto"/>
        <w:ind w:firstLine="420" w:firstLineChars="200"/>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本合同一式</w:t>
      </w:r>
      <w:r>
        <w:rPr>
          <w:rFonts w:hint="eastAsia" w:ascii="宋体" w:hAnsi="宋体" w:eastAsia="宋体" w:cs="宋体"/>
          <w:color w:val="000000" w:themeColor="text1"/>
          <w:sz w:val="21"/>
          <w:szCs w:val="21"/>
          <w:u w:val="single"/>
          <w:lang w:val="en"/>
          <w14:textFill>
            <w14:solidFill>
              <w14:schemeClr w14:val="tx1"/>
            </w14:solidFill>
          </w14:textFill>
        </w:rPr>
        <w:t>七</w:t>
      </w:r>
      <w:r>
        <w:rPr>
          <w:rFonts w:ascii="宋体" w:hAnsi="宋体" w:eastAsia="宋体" w:cs="宋体"/>
          <w:color w:val="000000" w:themeColor="text1"/>
          <w:sz w:val="21"/>
          <w:szCs w:val="21"/>
          <w14:textFill>
            <w14:solidFill>
              <w14:schemeClr w14:val="tx1"/>
            </w14:solidFill>
          </w14:textFill>
        </w:rPr>
        <w:t>份，由甲乙双方法定代表人或被授权人签字并盖章后生效。</w:t>
      </w:r>
    </w:p>
    <w:p>
      <w:pPr>
        <w:pStyle w:val="30"/>
        <w:tabs>
          <w:tab w:val="left" w:pos="840"/>
        </w:tabs>
        <w:adjustRightInd w:val="0"/>
        <w:snapToGrid w:val="0"/>
        <w:spacing w:line="360" w:lineRule="auto"/>
        <w:ind w:firstLine="420" w:firstLineChars="200"/>
        <w:jc w:val="both"/>
        <w:textAlignment w:val="baseline"/>
        <w:rPr>
          <w:rFonts w:ascii="Times New Roman" w:hAnsi="Times New Roman"/>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乙方由法定代表人签订合同的，应提供法定代表人身份证复印件；乙方由被授权人签订合同的，应提供授权委托书和法定代表人及被授权人身份证复印件。</w:t>
      </w:r>
    </w:p>
    <w:p>
      <w:pPr>
        <w:tabs>
          <w:tab w:val="left" w:pos="700"/>
        </w:tabs>
        <w:topLinePunct/>
        <w:autoSpaceDE w:val="0"/>
        <w:autoSpaceDN w:val="0"/>
        <w:spacing w:line="360" w:lineRule="auto"/>
        <w:rPr>
          <w:rFonts w:ascii="Times New Roman" w:hAnsi="Times New Roman"/>
          <w:color w:val="000000" w:themeColor="text1"/>
          <w:szCs w:val="21"/>
          <w14:textFill>
            <w14:solidFill>
              <w14:schemeClr w14:val="tx1"/>
            </w14:solidFill>
          </w14:textFill>
        </w:rPr>
      </w:pP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甲方：</w:t>
      </w:r>
      <w:r>
        <w:rPr>
          <w:rFonts w:hint="eastAsia" w:ascii="Times New Roman" w:hAnsi="Times New Roman"/>
          <w:color w:val="000000" w:themeColor="text1"/>
          <w:szCs w:val="21"/>
          <w14:textFill>
            <w14:solidFill>
              <w14:schemeClr w14:val="tx1"/>
            </w14:solidFill>
          </w14:textFill>
        </w:rPr>
        <w:t>国家税务总局南宁市良庆区税务局</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乙方：</w:t>
      </w: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签字：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签字：</w:t>
      </w: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盖章：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盖章： </w:t>
      </w:r>
    </w:p>
    <w:p>
      <w:pPr>
        <w:tabs>
          <w:tab w:val="left" w:pos="700"/>
        </w:tabs>
        <w:topLinePunct/>
        <w:autoSpaceDE w:val="0"/>
        <w:autoSpaceDN w:val="0"/>
        <w:spacing w:line="360" w:lineRule="auto"/>
        <w:ind w:left="36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日期：    年    月    日               </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日期：     年   月   日</w:t>
      </w:r>
    </w:p>
    <w:p>
      <w:pPr>
        <w:topLinePunct/>
        <w:autoSpaceDE w:val="0"/>
        <w:autoSpaceDN w:val="0"/>
        <w:spacing w:line="360" w:lineRule="auto"/>
        <w:rPr>
          <w:rFonts w:ascii="Times New Roman" w:hAnsi="Times New Roman"/>
          <w:b/>
          <w:color w:val="000000" w:themeColor="text1"/>
          <w:szCs w:val="21"/>
          <w14:textFill>
            <w14:solidFill>
              <w14:schemeClr w14:val="tx1"/>
            </w14:solidFill>
          </w14:textFill>
        </w:rPr>
      </w:pPr>
    </w:p>
    <w:p>
      <w:pPr>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p>
    <w:p>
      <w:pPr>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   合 同 通 用 条 款</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 定义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本合同下列术语应解释为：</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1.1“甲方”是指国家税务总局南宁市良庆区税务局。</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1.1.1“甲方采购部门”见“合同条款前附表”第5项“甲方采购部门”。</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1.1.2“甲方需求部门”见“合同条款前附表”第5项“甲方需求部门”。</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1.2“乙方”见“合同条款前附表”第6项“乙方名称”。</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 “天”除非特别指出，“天”均为自然天。</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 标准</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 乙方为甲方交付或提供的服务应符合</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2.2 除非技术要求中另有规定，计量单位均采用中华人民共和国法定计量单位。</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3. 服务</w:t>
      </w:r>
    </w:p>
    <w:p>
      <w:pPr>
        <w:tabs>
          <w:tab w:val="left" w:pos="700"/>
        </w:tabs>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3.1 本项目的“服务”见“合同条款前附表”第8项“服务内容”。</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3.4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 除合同条款另行规定外，伴随服务的费用应含在合同价中，不单独进行支付。</w:t>
      </w:r>
    </w:p>
    <w:p>
      <w:pPr>
        <w:tabs>
          <w:tab w:val="left" w:pos="0"/>
          <w:tab w:val="left" w:pos="54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4. 知识产权</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5. 保密条款</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5.1 甲乙双方应对在本合同签订或履行过程中所接触的对方信息，包括但不限于知识产权、技术资料、技术诀窍、内部管理</w:t>
      </w:r>
      <w:r>
        <w:rPr>
          <w:rFonts w:hint="eastAsia" w:ascii="Times New Roman" w:hAnsi="Times New Roman"/>
          <w:color w:val="000000" w:themeColor="text1"/>
          <w:szCs w:val="21"/>
          <w14:textFill>
            <w14:solidFill>
              <w14:schemeClr w14:val="tx1"/>
            </w14:solidFill>
          </w14:textFill>
        </w:rPr>
        <w:t>、体检数据和报告</w:t>
      </w:r>
      <w:r>
        <w:rPr>
          <w:rFonts w:ascii="Times New Roman" w:hAnsi="Times New Roman"/>
          <w:color w:val="000000" w:themeColor="text1"/>
          <w:szCs w:val="21"/>
          <w14:textFill>
            <w14:solidFill>
              <w14:schemeClr w14:val="tx1"/>
            </w14:solidFill>
          </w14:textFill>
        </w:rPr>
        <w:t>及其他相关信息，负有保密义务。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 乙方在使用</w:t>
      </w:r>
      <w:r>
        <w:rPr>
          <w:rFonts w:hint="eastAsia" w:ascii="Times New Roman" w:hAnsi="Times New Roman"/>
          <w:color w:val="000000" w:themeColor="text1"/>
          <w:szCs w:val="21"/>
          <w14:textFill>
            <w14:solidFill>
              <w14:schemeClr w14:val="tx1"/>
            </w14:solidFill>
          </w14:textFill>
        </w:rPr>
        <w:t>体检人员相关信息</w:t>
      </w:r>
      <w:r>
        <w:rPr>
          <w:rFonts w:ascii="Times New Roman" w:hAnsi="Times New Roman"/>
          <w:color w:val="000000" w:themeColor="text1"/>
          <w:szCs w:val="21"/>
          <w14:textFill>
            <w14:solidFill>
              <w14:schemeClr w14:val="tx1"/>
            </w14:solidFill>
          </w14:textFill>
        </w:rPr>
        <w:t>时，应遵循以下规定：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（1）应以审慎态度避免泄漏、公开或传播甲方</w:t>
      </w:r>
      <w:r>
        <w:rPr>
          <w:rFonts w:hint="eastAsia" w:ascii="Times New Roman" w:hAnsi="Times New Roman"/>
          <w:color w:val="000000" w:themeColor="text1"/>
          <w:szCs w:val="21"/>
          <w14:textFill>
            <w14:solidFill>
              <w14:schemeClr w14:val="tx1"/>
            </w14:solidFill>
          </w14:textFill>
        </w:rPr>
        <w:t>体检人员</w:t>
      </w:r>
      <w:r>
        <w:rPr>
          <w:rFonts w:ascii="Times New Roman" w:hAnsi="Times New Roman"/>
          <w:color w:val="000000" w:themeColor="text1"/>
          <w:szCs w:val="21"/>
          <w14:textFill>
            <w14:solidFill>
              <w14:schemeClr w14:val="tx1"/>
            </w14:solidFill>
          </w14:textFill>
        </w:rPr>
        <w:t>的信息；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（2）未经甲方书面许可，不得对有关信息进行修改、补充、复制；</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（3）未经甲方书面许可，不得将信息透露给任何其他</w:t>
      </w:r>
      <w:r>
        <w:rPr>
          <w:rFonts w:hint="eastAsia" w:ascii="Times New Roman" w:hAnsi="Times New Roman"/>
          <w:color w:val="000000" w:themeColor="text1"/>
          <w:szCs w:val="21"/>
          <w14:textFill>
            <w14:solidFill>
              <w14:schemeClr w14:val="tx1"/>
            </w14:solidFill>
          </w14:textFill>
        </w:rPr>
        <w:t>人员</w:t>
      </w:r>
      <w:r>
        <w:rPr>
          <w:rFonts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（4）甲方以书面形式提出的其他保密措施。</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5.4 甲乙双方如出现泄密行为，泄密方应承担相关的法律责任，包括</w:t>
      </w:r>
      <w:r>
        <w:rPr>
          <w:rFonts w:hint="eastAsia" w:ascii="Times New Roman" w:hAnsi="Times New Roman"/>
          <w:color w:val="000000" w:themeColor="text1"/>
          <w:szCs w:val="21"/>
          <w14:textFill>
            <w14:solidFill>
              <w14:schemeClr w14:val="tx1"/>
            </w14:solidFill>
          </w14:textFill>
        </w:rPr>
        <w:t>但</w:t>
      </w:r>
      <w:r>
        <w:rPr>
          <w:rFonts w:ascii="Times New Roman" w:hAnsi="Times New Roman"/>
          <w:color w:val="000000" w:themeColor="text1"/>
          <w:szCs w:val="21"/>
          <w14:textFill>
            <w14:solidFill>
              <w14:schemeClr w14:val="tx1"/>
            </w14:solidFill>
          </w14:textFill>
        </w:rPr>
        <w:t>不限于对由此给对方造成的经济损失进行赔偿。</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6. 履约验收要求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6.1 甲方需求部门严格按照采购合同开展履约验收。验收时</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6.2具体履约验收要求详见</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w:t>
      </w:r>
    </w:p>
    <w:p>
      <w:pPr>
        <w:tabs>
          <w:tab w:val="left" w:pos="0"/>
          <w:tab w:val="left" w:pos="54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7. 履约保证金</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8．履约延误</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8.1 乙方应按照本合同的规定提供服务。</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8.2 如乙方迟延履行合同义务，甲方将从应付合同金额中扣除误期违约金，每延误一天误期违约金按合同总金额的万分之三（0.03%）计收。乙方支付的</w:t>
      </w:r>
      <w:r>
        <w:rPr>
          <w:rFonts w:hint="eastAsia" w:ascii="Times New Roman" w:hAnsi="Times New Roman"/>
          <w:color w:val="000000" w:themeColor="text1"/>
          <w:szCs w:val="21"/>
          <w14:textFill>
            <w14:solidFill>
              <w14:schemeClr w14:val="tx1"/>
            </w14:solidFill>
          </w14:textFill>
        </w:rPr>
        <w:t>误</w:t>
      </w:r>
      <w:r>
        <w:rPr>
          <w:rFonts w:ascii="Times New Roman" w:hAnsi="Times New Roman"/>
          <w:color w:val="000000" w:themeColor="text1"/>
          <w:szCs w:val="21"/>
          <w14:textFill>
            <w14:solidFill>
              <w14:schemeClr w14:val="tx1"/>
            </w14:solidFill>
          </w14:textFill>
        </w:rPr>
        <w:t>期违约金不足以弥补甲方损失的，应继续承担赔偿责任。本合同约定的损失，包括但不限于：直接损失、调查取证费、诉讼费、律师费</w:t>
      </w:r>
      <w:r>
        <w:rPr>
          <w:rFonts w:hint="eastAsia" w:ascii="Times New Roman" w:hAnsi="Times New Roman"/>
          <w:color w:val="000000" w:themeColor="text1"/>
          <w:szCs w:val="21"/>
          <w14:textFill>
            <w14:solidFill>
              <w14:schemeClr w14:val="tx1"/>
            </w14:solidFill>
          </w14:textFill>
        </w:rPr>
        <w:t>、保全费、保全保险费、甲方另行采购的价差损失、采购成本</w:t>
      </w:r>
      <w:r>
        <w:rPr>
          <w:rFonts w:ascii="Times New Roman" w:hAnsi="Times New Roman"/>
          <w:color w:val="000000" w:themeColor="text1"/>
          <w:szCs w:val="21"/>
          <w14:textFill>
            <w14:solidFill>
              <w14:schemeClr w14:val="tx1"/>
            </w14:solidFill>
          </w14:textFill>
        </w:rPr>
        <w:t>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w:t>
      </w:r>
      <w:r>
        <w:rPr>
          <w:rFonts w:hint="eastAsia" w:ascii="Times New Roman" w:hAnsi="Times New Roman"/>
          <w:color w:val="000000" w:themeColor="text1"/>
          <w:szCs w:val="21"/>
          <w14:textFill>
            <w14:solidFill>
              <w14:schemeClr w14:val="tx1"/>
            </w14:solidFill>
          </w14:textFill>
        </w:rPr>
        <w:t>逾期</w:t>
      </w:r>
      <w:r>
        <w:rPr>
          <w:rFonts w:ascii="Times New Roman" w:hAnsi="Times New Roman"/>
          <w:color w:val="000000" w:themeColor="text1"/>
          <w:szCs w:val="21"/>
          <w14:textFill>
            <w14:solidFill>
              <w14:schemeClr w14:val="tx1"/>
            </w14:solidFill>
          </w14:textFill>
        </w:rPr>
        <w:t>违约金。</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9. 违约责任</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w:t>
      </w:r>
      <w:r>
        <w:rPr>
          <w:rFonts w:hint="eastAsia" w:ascii="Times New Roman" w:hAnsi="Times New Roman"/>
          <w:color w:val="000000" w:themeColor="text1"/>
          <w:szCs w:val="21"/>
          <w14:textFill>
            <w14:solidFill>
              <w14:schemeClr w14:val="tx1"/>
            </w14:solidFill>
          </w14:textFill>
        </w:rPr>
        <w:t>、保全费、保全保险费、甲方另行采购的价差损失、采购成本</w:t>
      </w:r>
      <w:r>
        <w:rPr>
          <w:rFonts w:ascii="Times New Roman" w:hAnsi="Times New Roman"/>
          <w:color w:val="000000" w:themeColor="text1"/>
          <w:szCs w:val="21"/>
          <w14:textFill>
            <w14:solidFill>
              <w14:schemeClr w14:val="tx1"/>
            </w14:solidFill>
          </w14:textFill>
        </w:rPr>
        <w:t>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9.3 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9.5 对于本协议未约定的、</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文件（技术部分）中约定的违约处理条款，按</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文件（技术部分）相关约定执行；对本协议与</w:t>
      </w:r>
      <w:r>
        <w:rPr>
          <w:rFonts w:hint="eastAsia" w:ascii="Times New Roman" w:hAnsi="Times New Roman"/>
          <w:color w:val="000000" w:themeColor="text1"/>
          <w:szCs w:val="21"/>
          <w14:textFill>
            <w14:solidFill>
              <w14:schemeClr w14:val="tx1"/>
            </w14:solidFill>
          </w14:textFill>
        </w:rPr>
        <w:t>磋商</w:t>
      </w:r>
      <w:r>
        <w:rPr>
          <w:rFonts w:ascii="Times New Roman" w:hAnsi="Times New Roman"/>
          <w:color w:val="000000" w:themeColor="text1"/>
          <w:szCs w:val="21"/>
          <w14:textFill>
            <w14:solidFill>
              <w14:schemeClr w14:val="tx1"/>
            </w14:solidFill>
          </w14:textFill>
        </w:rPr>
        <w:t>文件（技术部分）约定不同的违约处理条款，以本协议约定为准。</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10. 不可抗力</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11. 争端的解决</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11.1 甲乙双方应首先通过友好协商解决在执行本合同中所发生的或与本合同有关的一切争端。如从协商开始</w:t>
      </w:r>
      <w:r>
        <w:rPr>
          <w:rFonts w:hint="eastAsia" w:ascii="Times New Roman" w:hAnsi="Times New Roman"/>
          <w:color w:val="000000" w:themeColor="text1"/>
          <w:szCs w:val="21"/>
          <w:u w:val="single"/>
          <w14:textFill>
            <w14:solidFill>
              <w14:schemeClr w14:val="tx1"/>
            </w14:solidFill>
          </w14:textFill>
        </w:rPr>
        <w:t>30</w:t>
      </w:r>
      <w:r>
        <w:rPr>
          <w:rFonts w:ascii="Times New Roman" w:hAnsi="Times New Roman"/>
          <w:color w:val="000000" w:themeColor="text1"/>
          <w:szCs w:val="21"/>
          <w14:textFill>
            <w14:solidFill>
              <w14:schemeClr w14:val="tx1"/>
            </w14:solidFill>
          </w14:textFill>
        </w:rPr>
        <w:t>天内仍不能解决，可以按合同约定的方式提起仲裁或诉讼。</w:t>
      </w:r>
    </w:p>
    <w:p>
      <w:pPr>
        <w:spacing w:line="360" w:lineRule="auto"/>
        <w:ind w:left="239" w:leftChars="114" w:firstLine="210" w:firstLineChars="1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11.2.1仲裁应向甲方所在地或</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仲裁委员会申请仲裁。</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11.2.2 仲裁裁决应为最终裁决，对双方均具有约束力。</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11.2.3 仲裁费除仲裁机关另有裁决外应由败诉方负担。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11.2.4在仲裁期间，除正在进行仲裁部分外，本合同</w:t>
      </w:r>
      <w:r>
        <w:rPr>
          <w:rFonts w:hint="eastAsia" w:ascii="Times New Roman" w:hAnsi="Times New Roman"/>
          <w:color w:val="000000" w:themeColor="text1"/>
          <w:szCs w:val="21"/>
          <w14:textFill>
            <w14:solidFill>
              <w14:schemeClr w14:val="tx1"/>
            </w14:solidFill>
          </w14:textFill>
        </w:rPr>
        <w:t>的其他部分</w:t>
      </w:r>
      <w:r>
        <w:rPr>
          <w:rFonts w:ascii="Times New Roman" w:hAnsi="Times New Roman"/>
          <w:color w:val="000000" w:themeColor="text1"/>
          <w:szCs w:val="21"/>
          <w14:textFill>
            <w14:solidFill>
              <w14:schemeClr w14:val="tx1"/>
            </w14:solidFill>
          </w14:textFill>
        </w:rPr>
        <w:t>应继续执行。</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11.3.1诉讼应向甲方所在地人民法院提起诉讼。</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11.3.2诉讼费除人民法院另有判决外，应由败诉方负担。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11.3.3在诉讼期间，除正在进行诉讼部分外，本合同</w:t>
      </w:r>
      <w:r>
        <w:rPr>
          <w:rFonts w:hint="eastAsia" w:ascii="Times New Roman" w:hAnsi="Times New Roman"/>
          <w:color w:val="000000" w:themeColor="text1"/>
          <w:szCs w:val="21"/>
          <w14:textFill>
            <w14:solidFill>
              <w14:schemeClr w14:val="tx1"/>
            </w14:solidFill>
          </w14:textFill>
        </w:rPr>
        <w:t>的其他部分</w:t>
      </w:r>
      <w:r>
        <w:rPr>
          <w:rFonts w:ascii="Times New Roman" w:hAnsi="Times New Roman"/>
          <w:color w:val="000000" w:themeColor="text1"/>
          <w:szCs w:val="21"/>
          <w14:textFill>
            <w14:solidFill>
              <w14:schemeClr w14:val="tx1"/>
            </w14:solidFill>
          </w14:textFill>
        </w:rPr>
        <w:t>应继续执行。</w:t>
      </w:r>
    </w:p>
    <w:p>
      <w:pPr>
        <w:spacing w:line="360" w:lineRule="auto"/>
        <w:ind w:firstLine="420" w:firstLineChars="200"/>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11.3.4与本合同有关的通知，双方均有权以特快专递邮件、短信等方式送达至各方在本合同所留的联系方式和联系人。如以特快专递邮件方式发送的，则相关通知在特快专递邮件发出后的第二个工作日视为送达；如以短信方式送达的，则相关通知在短信发送至指定手机号码后视为送达。如因本合同产生纠纷的，相关诉讼文书的送达也适用本条款之约定。</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12. 违约终止合同</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w:t>
      </w:r>
      <w:r>
        <w:rPr>
          <w:rFonts w:hint="eastAsia" w:ascii="Times New Roman" w:hAnsi="Times New Roman"/>
          <w:color w:val="000000" w:themeColor="text1"/>
          <w:szCs w:val="21"/>
          <w14:textFill>
            <w14:solidFill>
              <w14:schemeClr w14:val="tx1"/>
            </w14:solidFill>
          </w14:textFill>
        </w:rPr>
        <w:t>、保全费、保全保险费、甲方另行采购的价差损失、采购成本</w:t>
      </w:r>
      <w:r>
        <w:rPr>
          <w:rFonts w:ascii="Times New Roman" w:hAnsi="Times New Roman"/>
          <w:color w:val="000000" w:themeColor="text1"/>
          <w:szCs w:val="21"/>
          <w14:textFill>
            <w14:solidFill>
              <w14:schemeClr w14:val="tx1"/>
            </w14:solidFill>
          </w14:textFill>
        </w:rPr>
        <w:t>等。</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12.1.2如果乙方未能在合同规定的期限或甲方同意延长的期限内提供服务，迟延累计达20日的；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t xml:space="preserve"> 因乙方人员自身技术能力、经验不足等问题造成</w:t>
      </w:r>
      <w:r>
        <w:rPr>
          <w:rFonts w:hint="eastAsia" w:ascii="Times New Roman" w:hAnsi="Times New Roman"/>
          <w:color w:val="000000" w:themeColor="text1"/>
          <w:szCs w:val="21"/>
          <w14:textFill>
            <w14:solidFill>
              <w14:schemeClr w14:val="tx1"/>
            </w14:solidFill>
          </w14:textFill>
        </w:rPr>
        <w:t>体检检材毁损、检材混乱、人员伤亡等问题</w:t>
      </w:r>
      <w:r>
        <w:rPr>
          <w:rFonts w:ascii="Times New Roman" w:hAnsi="Times New Roman"/>
          <w:color w:val="000000" w:themeColor="text1"/>
          <w:szCs w:val="21"/>
          <w14:textFill>
            <w14:solidFill>
              <w14:schemeClr w14:val="tx1"/>
            </w14:solidFill>
          </w14:textFill>
        </w:rPr>
        <w:t>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 xml:space="preserve"> 乙方对</w:t>
      </w:r>
      <w:r>
        <w:rPr>
          <w:rFonts w:hint="eastAsia" w:ascii="Times New Roman" w:hAnsi="Times New Roman"/>
          <w:color w:val="000000" w:themeColor="text1"/>
          <w:szCs w:val="21"/>
          <w14:textFill>
            <w14:solidFill>
              <w14:schemeClr w14:val="tx1"/>
            </w14:solidFill>
          </w14:textFill>
        </w:rPr>
        <w:t>甲方需求</w:t>
      </w:r>
      <w:r>
        <w:rPr>
          <w:rFonts w:ascii="Times New Roman" w:hAnsi="Times New Roman"/>
          <w:color w:val="000000" w:themeColor="text1"/>
          <w:szCs w:val="21"/>
          <w14:textFill>
            <w14:solidFill>
              <w14:schemeClr w14:val="tx1"/>
            </w14:solidFill>
          </w14:textFill>
        </w:rPr>
        <w:t>没有及时响应，或不能在规定时间内</w:t>
      </w:r>
      <w:r>
        <w:rPr>
          <w:rFonts w:hint="eastAsia" w:ascii="Times New Roman" w:hAnsi="Times New Roman"/>
          <w:color w:val="000000" w:themeColor="text1"/>
          <w:szCs w:val="21"/>
          <w14:textFill>
            <w14:solidFill>
              <w14:schemeClr w14:val="tx1"/>
            </w14:solidFill>
          </w14:textFill>
        </w:rPr>
        <w:t>出具体检报告</w:t>
      </w:r>
      <w:r>
        <w:rPr>
          <w:rFonts w:ascii="Times New Roman" w:hAnsi="Times New Roman"/>
          <w:color w:val="000000" w:themeColor="text1"/>
          <w:szCs w:val="21"/>
          <w14:textFill>
            <w14:solidFill>
              <w14:schemeClr w14:val="tx1"/>
            </w14:solidFill>
          </w14:textFill>
        </w:rPr>
        <w:t>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t xml:space="preserve">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6</w:t>
      </w:r>
      <w:r>
        <w:rPr>
          <w:rFonts w:ascii="Times New Roman" w:hAnsi="Times New Roman"/>
          <w:color w:val="000000" w:themeColor="text1"/>
          <w:szCs w:val="21"/>
          <w14:textFill>
            <w14:solidFill>
              <w14:schemeClr w14:val="tx1"/>
            </w14:solidFill>
          </w14:textFill>
        </w:rPr>
        <w:t xml:space="preserve"> 乙方利用本项目实施过程中所产生的成果（包括但不限于</w:t>
      </w:r>
      <w:r>
        <w:rPr>
          <w:rFonts w:hint="eastAsia" w:ascii="Times New Roman" w:hAnsi="Times New Roman"/>
          <w:color w:val="000000" w:themeColor="text1"/>
          <w:szCs w:val="21"/>
          <w14:textFill>
            <w14:solidFill>
              <w14:schemeClr w14:val="tx1"/>
            </w14:solidFill>
          </w14:textFill>
        </w:rPr>
        <w:t>体检数据</w:t>
      </w:r>
      <w:r>
        <w:rPr>
          <w:rFonts w:ascii="Times New Roman" w:hAnsi="Times New Roman"/>
          <w:color w:val="000000" w:themeColor="text1"/>
          <w:szCs w:val="21"/>
          <w14:textFill>
            <w14:solidFill>
              <w14:schemeClr w14:val="tx1"/>
            </w14:solidFill>
          </w14:textFill>
        </w:rPr>
        <w:t>及相关技术资料、文档等），</w:t>
      </w:r>
      <w:r>
        <w:rPr>
          <w:rFonts w:hint="eastAsia" w:ascii="Times New Roman" w:hAnsi="Times New Roman"/>
          <w:color w:val="000000" w:themeColor="text1"/>
          <w:szCs w:val="21"/>
          <w14:textFill>
            <w14:solidFill>
              <w14:schemeClr w14:val="tx1"/>
            </w14:solidFill>
          </w14:textFill>
        </w:rPr>
        <w:t>泄露给他人的</w:t>
      </w:r>
      <w:r>
        <w:rPr>
          <w:rFonts w:ascii="Times New Roman" w:hAnsi="Times New Roman"/>
          <w:color w:val="000000" w:themeColor="text1"/>
          <w:szCs w:val="21"/>
          <w14:textFill>
            <w14:solidFill>
              <w14:schemeClr w14:val="tx1"/>
            </w14:solidFill>
          </w14:textFill>
        </w:rPr>
        <w:t>；</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7</w:t>
      </w:r>
      <w:r>
        <w:rPr>
          <w:rFonts w:ascii="Times New Roman" w:hAnsi="Times New Roman"/>
          <w:color w:val="000000" w:themeColor="text1"/>
          <w:szCs w:val="21"/>
          <w14:textFill>
            <w14:solidFill>
              <w14:schemeClr w14:val="tx1"/>
            </w14:solidFill>
          </w14:textFill>
        </w:rPr>
        <w:t xml:space="preserve"> 乙方在本项目实施过程中发生违反</w:t>
      </w:r>
      <w:r>
        <w:rPr>
          <w:rFonts w:hint="eastAsia" w:ascii="Times New Roman" w:hAnsi="Times New Roman"/>
          <w:color w:val="000000" w:themeColor="text1"/>
          <w:szCs w:val="21"/>
          <w14:textFill>
            <w14:solidFill>
              <w14:schemeClr w14:val="tx1"/>
            </w14:solidFill>
          </w14:textFill>
        </w:rPr>
        <w:t>信息</w:t>
      </w:r>
      <w:r>
        <w:rPr>
          <w:rFonts w:ascii="Times New Roman" w:hAnsi="Times New Roman"/>
          <w:color w:val="000000" w:themeColor="text1"/>
          <w:szCs w:val="21"/>
          <w14:textFill>
            <w14:solidFill>
              <w14:schemeClr w14:val="tx1"/>
            </w14:solidFill>
          </w14:textFill>
        </w:rPr>
        <w:t>安全规定行为造成不良后果的。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8</w:t>
      </w:r>
      <w:r>
        <w:rPr>
          <w:rFonts w:ascii="Times New Roman" w:hAnsi="Times New Roman"/>
          <w:color w:val="000000" w:themeColor="text1"/>
          <w:szCs w:val="21"/>
          <w14:textFill>
            <w14:solidFill>
              <w14:schemeClr w14:val="tx1"/>
            </w14:solidFill>
          </w14:textFill>
        </w:rPr>
        <w:t xml:space="preserve">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w:t>
      </w:r>
      <w:r>
        <w:rPr>
          <w:rFonts w:hint="eastAsia" w:ascii="Times New Roman" w:hAnsi="Times New Roman"/>
          <w:color w:val="000000" w:themeColor="text1"/>
          <w:szCs w:val="21"/>
          <w14:textFill>
            <w14:solidFill>
              <w14:schemeClr w14:val="tx1"/>
            </w14:solidFill>
          </w14:textFill>
        </w:rPr>
        <w:t>9</w:t>
      </w:r>
      <w:r>
        <w:rPr>
          <w:rFonts w:ascii="Times New Roman" w:hAnsi="Times New Roman"/>
          <w:color w:val="000000" w:themeColor="text1"/>
          <w:szCs w:val="21"/>
          <w14:textFill>
            <w14:solidFill>
              <w14:schemeClr w14:val="tx1"/>
            </w14:solidFill>
          </w14:textFill>
        </w:rPr>
        <w:t xml:space="preserve">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12.1.1</w:t>
      </w:r>
      <w:r>
        <w:rPr>
          <w:rFonts w:hint="eastAsia" w:ascii="Times New Roman" w:hAnsi="Times New Roman"/>
          <w:color w:val="000000" w:themeColor="text1"/>
          <w:szCs w:val="21"/>
          <w14:textFill>
            <w14:solidFill>
              <w14:schemeClr w14:val="tx1"/>
            </w14:solidFill>
          </w14:textFill>
        </w:rPr>
        <w:t>0</w:t>
      </w:r>
      <w:r>
        <w:rPr>
          <w:rFonts w:ascii="Times New Roman" w:hAnsi="Times New Roman"/>
          <w:color w:val="000000" w:themeColor="text1"/>
          <w:szCs w:val="21"/>
          <w14:textFill>
            <w14:solidFill>
              <w14:schemeClr w14:val="tx1"/>
            </w14:solidFill>
          </w14:textFill>
        </w:rPr>
        <w:t xml:space="preserve"> 乙方转让其应履行的合同义务，或未经甲方同意采取分包方式履行合同的；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12.1.1</w:t>
      </w: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 xml:space="preserve"> 乙方有其他严重违约行为的。</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13. 破产终止合同</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13.2该终止合同将不损害或影响甲方已经采取或将要采取的任何行动或补救措施的权利。</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14. 其他情况的终止合同</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14.2 在服务期内，由于甲方工作计划调整</w:t>
      </w:r>
      <w:r>
        <w:rPr>
          <w:rFonts w:hint="eastAsia" w:ascii="Times New Roman" w:hAnsi="Times New Roman"/>
          <w:color w:val="000000" w:themeColor="text1"/>
          <w:szCs w:val="21"/>
          <w14:textFill>
            <w14:solidFill>
              <w14:schemeClr w14:val="tx1"/>
            </w14:solidFill>
          </w14:textFill>
        </w:rPr>
        <w:t>、预算调整</w:t>
      </w:r>
      <w:r>
        <w:rPr>
          <w:rFonts w:ascii="Times New Roman" w:hAnsi="Times New Roman"/>
          <w:color w:val="000000" w:themeColor="text1"/>
          <w:szCs w:val="21"/>
          <w14:textFill>
            <w14:solidFill>
              <w14:schemeClr w14:val="tx1"/>
            </w14:solidFill>
          </w14:textFill>
        </w:rPr>
        <w:t>，导致本项目相关服务停止的，甲方可以提出终止合同而不给予乙方任何补偿。</w:t>
      </w:r>
    </w:p>
    <w:p>
      <w:pPr>
        <w:tabs>
          <w:tab w:val="left" w:pos="70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15. 合同修改或变更</w:t>
      </w:r>
    </w:p>
    <w:p>
      <w:pPr>
        <w:spacing w:line="360" w:lineRule="auto"/>
        <w:ind w:firstLine="482"/>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15.1 合同如有未尽事宜，</w:t>
      </w:r>
      <w:r>
        <w:rPr>
          <w:rFonts w:hint="eastAsia" w:ascii="Times New Roman" w:hAnsi="Times New Roman"/>
          <w:color w:val="000000" w:themeColor="text1"/>
          <w:szCs w:val="21"/>
          <w14:textFill>
            <w14:solidFill>
              <w14:schemeClr w14:val="tx1"/>
            </w14:solidFill>
          </w14:textFill>
        </w:rPr>
        <w:t>需</w:t>
      </w:r>
      <w:r>
        <w:rPr>
          <w:rFonts w:ascii="Times New Roman" w:hAnsi="Times New Roman"/>
          <w:color w:val="000000" w:themeColor="text1"/>
          <w:szCs w:val="21"/>
          <w14:textFill>
            <w14:solidFill>
              <w14:schemeClr w14:val="tx1"/>
            </w14:solidFill>
          </w14:textFill>
        </w:rPr>
        <w:t>经甲乙双方共同协商，</w:t>
      </w:r>
      <w:r>
        <w:rPr>
          <w:rFonts w:hint="eastAsia" w:ascii="Times New Roman" w:hAnsi="Times New Roman"/>
          <w:color w:val="000000" w:themeColor="text1"/>
          <w:szCs w:val="21"/>
          <w14:textFill>
            <w14:solidFill>
              <w14:schemeClr w14:val="tx1"/>
            </w14:solidFill>
          </w14:textFill>
        </w:rPr>
        <w:t>作出</w:t>
      </w:r>
      <w:r>
        <w:rPr>
          <w:rFonts w:ascii="Times New Roman" w:hAnsi="Times New Roman"/>
          <w:color w:val="000000" w:themeColor="text1"/>
          <w:szCs w:val="21"/>
          <w14:textFill>
            <w14:solidFill>
              <w14:schemeClr w14:val="tx1"/>
            </w14:solidFill>
          </w14:textFill>
        </w:rPr>
        <w:t>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15.3 由于采购人项目统一规划等原因导致本项目停止部分服务的，甲方</w:t>
      </w:r>
      <w:r>
        <w:rPr>
          <w:rFonts w:hint="eastAsia" w:ascii="Times New Roman" w:hAnsi="Times New Roman"/>
          <w:color w:val="000000" w:themeColor="text1"/>
          <w:szCs w:val="21"/>
          <w14:textFill>
            <w14:solidFill>
              <w14:schemeClr w14:val="tx1"/>
            </w14:solidFill>
          </w14:textFill>
        </w:rPr>
        <w:t>有权</w:t>
      </w:r>
      <w:r>
        <w:rPr>
          <w:rFonts w:hint="eastAsia" w:ascii="Times New Roman" w:hAnsi="Times New Roman"/>
          <w:szCs w:val="21"/>
        </w:rPr>
        <w:t>启动合同变更程序，</w:t>
      </w:r>
      <w:r>
        <w:rPr>
          <w:rFonts w:ascii="Times New Roman" w:hAnsi="Times New Roman"/>
          <w:color w:val="000000" w:themeColor="text1"/>
          <w:szCs w:val="21"/>
          <w14:textFill>
            <w14:solidFill>
              <w14:schemeClr w14:val="tx1"/>
            </w14:solidFill>
          </w14:textFill>
        </w:rPr>
        <w:t>与乙方协商处理。</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16. 转让和分包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16.1 除甲方事先书面同意外，乙方不得部分转让或全部转让其应履行的合同义务。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17. 合同语言</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17.1 本合同语言为中文。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17.2 双方交换的与合同有关的信件和其他文件应用合同语言书写。</w:t>
      </w: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18. 适用法律</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18.1 本合同按照中华人民共和国现行法律进行解释。</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18.2 本合同的履行、违约责任和解决争议的方法等适用《中华人民共和国民法典》</w:t>
      </w:r>
      <w:r>
        <w:rPr>
          <w:rFonts w:hint="eastAsia" w:ascii="Times New Roman" w:hAnsi="Times New Roman"/>
          <w:color w:val="000000" w:themeColor="text1"/>
          <w:szCs w:val="21"/>
          <w14:textFill>
            <w14:solidFill>
              <w14:schemeClr w14:val="tx1"/>
            </w14:solidFill>
          </w14:textFill>
        </w:rPr>
        <w:t>等相关规定</w:t>
      </w:r>
      <w:r>
        <w:rPr>
          <w:rFonts w:ascii="Times New Roman" w:hAnsi="Times New Roman"/>
          <w:color w:val="000000" w:themeColor="text1"/>
          <w:szCs w:val="21"/>
          <w14:textFill>
            <w14:solidFill>
              <w14:schemeClr w14:val="tx1"/>
            </w14:solidFill>
          </w14:textFill>
        </w:rPr>
        <w:t>。</w:t>
      </w:r>
    </w:p>
    <w:p>
      <w:pPr>
        <w:topLinePunct/>
        <w:autoSpaceDE w:val="0"/>
        <w:autoSpaceDN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19. 税费</w:t>
      </w:r>
    </w:p>
    <w:p>
      <w:pPr>
        <w:topLinePunct/>
        <w:autoSpaceDE w:val="0"/>
        <w:autoSpaceDN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19.1 乙方应依法缴纳的合同服务相关税费，均已包含于合同总金额</w:t>
      </w:r>
      <w:r>
        <w:rPr>
          <w:rFonts w:hint="eastAsia" w:ascii="Times New Roman" w:hAnsi="Times New Roman"/>
          <w:color w:val="000000" w:themeColor="text1"/>
          <w:szCs w:val="21"/>
          <w14:textFill>
            <w14:solidFill>
              <w14:schemeClr w14:val="tx1"/>
            </w14:solidFill>
          </w14:textFill>
        </w:rPr>
        <w:t>、体检套餐价格</w:t>
      </w:r>
      <w:r>
        <w:rPr>
          <w:rFonts w:ascii="Times New Roman" w:hAnsi="Times New Roman"/>
          <w:color w:val="000000" w:themeColor="text1"/>
          <w:szCs w:val="21"/>
          <w14:textFill>
            <w14:solidFill>
              <w14:schemeClr w14:val="tx1"/>
            </w14:solidFill>
          </w14:textFill>
        </w:rPr>
        <w:t>中，甲方不再另行支付。</w:t>
      </w:r>
    </w:p>
    <w:p>
      <w:pPr>
        <w:tabs>
          <w:tab w:val="left" w:pos="700"/>
        </w:tabs>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20. 合同生效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20.1 本合同一式</w:t>
      </w:r>
      <w:r>
        <w:rPr>
          <w:rFonts w:hint="eastAsia" w:ascii="Times New Roman" w:hAnsi="Times New Roman"/>
          <w:color w:val="000000" w:themeColor="text1"/>
          <w:szCs w:val="21"/>
          <w:u w:val="single"/>
          <w14:textFill>
            <w14:solidFill>
              <w14:schemeClr w14:val="tx1"/>
            </w14:solidFill>
          </w14:textFill>
        </w:rPr>
        <w:t xml:space="preserve">  七   </w:t>
      </w:r>
      <w:r>
        <w:rPr>
          <w:rFonts w:ascii="Times New Roman" w:hAnsi="Times New Roman"/>
          <w:color w:val="000000" w:themeColor="text1"/>
          <w:szCs w:val="21"/>
          <w14:textFill>
            <w14:solidFill>
              <w14:schemeClr w14:val="tx1"/>
            </w14:solidFill>
          </w14:textFill>
        </w:rPr>
        <w:t>份，由甲乙双方法定代表人或被授权人签字并盖章后生效。</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ind w:firstLine="480" w:firstLineChars="200"/>
        <w:rPr>
          <w:rFonts w:ascii="宋体" w:hAnsi="宋体" w:cs="宋体"/>
          <w:color w:val="000000" w:themeColor="text1"/>
          <w:sz w:val="24"/>
          <w14:textFill>
            <w14:solidFill>
              <w14:schemeClr w14:val="tx1"/>
            </w14:solidFill>
          </w14:textFill>
        </w:rPr>
      </w:pPr>
    </w:p>
    <w:p>
      <w:pPr>
        <w:topLinePunct/>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   磋商文件及响应文件（如需要，可另附）</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四   最后报价表</w:t>
      </w:r>
    </w:p>
    <w:p>
      <w:pPr>
        <w:pStyle w:val="8"/>
        <w:rPr>
          <w:color w:val="000000" w:themeColor="text1"/>
          <w14:textFill>
            <w14:solidFill>
              <w14:schemeClr w14:val="tx1"/>
            </w14:solidFill>
          </w14:textFill>
        </w:rPr>
      </w:pPr>
    </w:p>
    <w:p>
      <w:pPr>
        <w:spacing w:line="360" w:lineRule="auto"/>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6"/>
        <w:rPr>
          <w:rFonts w:ascii="宋体" w:hAnsi="宋体" w:eastAsia="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pStyle w:val="10"/>
        <w:spacing w:line="360" w:lineRule="auto"/>
        <w:ind w:firstLine="480"/>
        <w:jc w:val="center"/>
        <w:rPr>
          <w:rFonts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  采购项目履约保证金返还申请（供参考）</w:t>
      </w:r>
    </w:p>
    <w:p>
      <w:pPr>
        <w:rPr>
          <w:rFonts w:ascii="宋体" w:hAnsi="宋体" w:cs="宋体"/>
          <w:b/>
          <w:color w:val="000000" w:themeColor="text1"/>
          <w:sz w:val="24"/>
          <w14:textFill>
            <w14:solidFill>
              <w14:schemeClr w14:val="tx1"/>
            </w14:solidFill>
          </w14:textFill>
        </w:rPr>
      </w:pPr>
    </w:p>
    <w:tbl>
      <w:tblPr>
        <w:tblStyle w:val="1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w:t>
            </w:r>
          </w:p>
        </w:tc>
        <w:tc>
          <w:tcPr>
            <w:tcW w:w="820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ascii="宋体" w:hAnsi="宋体" w:cs="宋体"/>
                <w:color w:val="000000" w:themeColor="text1"/>
                <w:szCs w:val="21"/>
                <w14:textFill>
                  <w14:solidFill>
                    <w14:schemeClr w14:val="tx1"/>
                  </w14:solidFill>
                </w14:textFill>
              </w:rPr>
            </w:pPr>
          </w:p>
        </w:tc>
        <w:tc>
          <w:tcPr>
            <w:tcW w:w="820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ascii="宋体" w:hAnsi="宋体" w:cs="宋体"/>
                <w:color w:val="000000" w:themeColor="text1"/>
                <w:szCs w:val="21"/>
                <w14:textFill>
                  <w14:solidFill>
                    <w14:schemeClr w14:val="tx1"/>
                  </w14:solidFill>
                </w14:textFill>
              </w:rPr>
            </w:pPr>
          </w:p>
        </w:tc>
        <w:tc>
          <w:tcPr>
            <w:tcW w:w="8206"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该项目已于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日验收并交付使用。根据合同规定，该项目的履约保证金，期限于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日已满，请将履约保证金人民币（大写）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退付到达以下账户。</w:t>
            </w:r>
          </w:p>
          <w:p>
            <w:pPr>
              <w:spacing w:line="400" w:lineRule="exact"/>
              <w:ind w:firstLine="7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w:t>
            </w:r>
          </w:p>
          <w:p>
            <w:pPr>
              <w:spacing w:line="400" w:lineRule="exact"/>
              <w:ind w:firstLine="7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p>
            <w:pPr>
              <w:spacing w:line="400" w:lineRule="exact"/>
              <w:ind w:firstLine="70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帐   号：</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联系人及电话：</w:t>
            </w:r>
          </w:p>
          <w:p>
            <w:pPr>
              <w:spacing w:line="400" w:lineRule="exact"/>
              <w:rPr>
                <w:rFonts w:ascii="宋体" w:hAnsi="宋体" w:cs="宋体"/>
                <w:color w:val="000000" w:themeColor="text1"/>
                <w:szCs w:val="21"/>
                <w14:textFill>
                  <w14:solidFill>
                    <w14:schemeClr w14:val="tx1"/>
                  </w14:solidFill>
                </w14:textFill>
              </w:rPr>
            </w:pPr>
          </w:p>
          <w:p>
            <w:pPr>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供应商签章：</w:t>
            </w:r>
          </w:p>
          <w:p>
            <w:pPr>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购</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意</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p>
        </w:tc>
        <w:tc>
          <w:tcPr>
            <w:tcW w:w="8206" w:type="dxa"/>
          </w:tcPr>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退付意见：（是否同意退付履约保证金及退付金额）</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联系人及电话：                         采购人签章</w:t>
            </w:r>
          </w:p>
          <w:p>
            <w:pPr>
              <w:spacing w:line="5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pPr>
              <w:spacing w:line="520" w:lineRule="exact"/>
              <w:jc w:val="center"/>
              <w:rPr>
                <w:rFonts w:ascii="宋体" w:hAnsi="宋体" w:cs="宋体"/>
                <w:color w:val="000000" w:themeColor="text1"/>
                <w:szCs w:val="21"/>
                <w14:textFill>
                  <w14:solidFill>
                    <w14:schemeClr w14:val="tx1"/>
                  </w14:solidFill>
                </w14:textFill>
              </w:rPr>
            </w:pPr>
          </w:p>
        </w:tc>
      </w:tr>
    </w:tbl>
    <w:p>
      <w:pPr>
        <w:pStyle w:val="10"/>
        <w:rPr>
          <w:rFonts w:hAnsi="宋体" w:cs="宋体"/>
          <w:color w:val="000000" w:themeColor="text1"/>
          <w:sz w:val="28"/>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7"/>
        <w:rPr>
          <w:rFonts w:ascii="宋体" w:hAnsi="宋体" w:cs="宋体"/>
          <w:color w:val="000000" w:themeColor="text1"/>
          <w14:textFill>
            <w14:solidFill>
              <w14:schemeClr w14:val="tx1"/>
            </w14:solidFill>
          </w14:textFill>
        </w:rPr>
        <w:sectPr>
          <w:pgSz w:w="11906" w:h="16838"/>
          <w:pgMar w:top="1440" w:right="1417" w:bottom="1440" w:left="1417" w:header="851" w:footer="992" w:gutter="0"/>
          <w:cols w:space="720" w:num="1"/>
          <w:titlePg/>
          <w:docGrid w:type="lines" w:linePitch="312" w:charSpace="0"/>
        </w:sectPr>
      </w:pPr>
    </w:p>
    <w:p>
      <w:pPr>
        <w:pStyle w:val="2"/>
        <w:jc w:val="center"/>
        <w:rPr>
          <w:rFonts w:hint="default" w:cs="宋体"/>
          <w:color w:val="000000" w:themeColor="text1"/>
          <w:sz w:val="30"/>
          <w:szCs w:val="30"/>
          <w14:textFill>
            <w14:solidFill>
              <w14:schemeClr w14:val="tx1"/>
            </w14:solidFill>
          </w14:textFill>
        </w:rPr>
      </w:pPr>
      <w:bookmarkStart w:id="33" w:name="_Toc2708"/>
      <w:r>
        <w:rPr>
          <w:rFonts w:cs="宋体"/>
          <w:color w:val="000000" w:themeColor="text1"/>
          <w:sz w:val="30"/>
          <w:szCs w:val="30"/>
          <w14:textFill>
            <w14:solidFill>
              <w14:schemeClr w14:val="tx1"/>
            </w14:solidFill>
          </w14:textFill>
        </w:rPr>
        <w:t>第五章　响应文件格式</w:t>
      </w:r>
      <w:bookmarkEnd w:id="33"/>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供应商必须按下列文本格式，如实提供具有法律效力的资格证明文件和真实有效的其他文件资料，任何不按下列文本格式提供或有实质性变更将由供应商承担风险。</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1.供应商应严格按照本章规定填写和提交全部格式文件以及其他有关资料，混乱地编排导致响应文件被误读或查找不到，后果由供应商承担。</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2.所附表格中要求回答的全部问题和信息都必须正面回答。</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4.磋商小组将应用供应商提交的资料并根据自己的判断，决定供应商履行合同的合格性及能力。</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5.全部文件应按供应商须知中规定的语言提交。</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6.以下格式文件为要求填写内容的固定格式，供应商不得擅自修改格式，其他未提供格式的文件和资料由供应商自行设计编制格式填写。</w:t>
      </w:r>
    </w:p>
    <w:p>
      <w:pPr>
        <w:adjustRightInd w:val="0"/>
        <w:snapToGrid w:val="0"/>
        <w:spacing w:before="62" w:beforeLines="20" w:after="4" w:line="360" w:lineRule="auto"/>
        <w:ind w:firstLine="422" w:firstLineChars="200"/>
        <w:jc w:val="center"/>
        <w:rPr>
          <w:rFonts w:ascii="宋体" w:hAnsi="宋体" w:cs="宋体"/>
          <w:b/>
          <w:bCs/>
          <w:color w:val="000000" w:themeColor="text1"/>
          <w14:textFill>
            <w14:solidFill>
              <w14:schemeClr w14:val="tx1"/>
            </w14:solidFill>
          </w14:textFill>
        </w:rPr>
      </w:pPr>
    </w:p>
    <w:p>
      <w:pPr>
        <w:ind w:firstLine="422" w:firstLineChars="200"/>
        <w:jc w:val="center"/>
        <w:rPr>
          <w:rFonts w:ascii="宋体" w:hAnsi="宋体" w:cs="宋体"/>
          <w:b/>
          <w:bCs/>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b/>
          <w:bCs/>
          <w:color w:val="000000" w:themeColor="text1"/>
          <w14:textFill>
            <w14:solidFill>
              <w14:schemeClr w14:val="tx1"/>
            </w14:solidFill>
          </w14:textFill>
        </w:rPr>
      </w:pPr>
    </w:p>
    <w:p>
      <w:pPr>
        <w:adjustRightInd w:val="0"/>
        <w:snapToGrid w:val="0"/>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spacing w:line="600" w:lineRule="auto"/>
        <w:jc w:val="center"/>
        <w:rPr>
          <w:rFonts w:ascii="宋体" w:hAnsi="宋体" w:cs="宋体"/>
          <w:b/>
          <w:color w:val="000000" w:themeColor="text1"/>
          <w:kern w:val="0"/>
          <w:sz w:val="44"/>
          <w:szCs w:val="44"/>
          <w14:textFill>
            <w14:solidFill>
              <w14:schemeClr w14:val="tx1"/>
            </w14:solidFill>
          </w14:textFill>
        </w:rPr>
      </w:pPr>
    </w:p>
    <w:p>
      <w:pPr>
        <w:pStyle w:val="8"/>
        <w:rPr>
          <w:rFonts w:ascii="宋体" w:hAnsi="宋体" w:cs="宋体"/>
          <w:color w:val="000000" w:themeColor="text1"/>
          <w:kern w:val="0"/>
          <w:sz w:val="44"/>
          <w:szCs w:val="44"/>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响  应  文  件</w:t>
      </w: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商务部分</w:t>
      </w:r>
    </w:p>
    <w:p>
      <w:pPr>
        <w:spacing w:line="360" w:lineRule="auto"/>
        <w:jc w:val="center"/>
        <w:rPr>
          <w:rFonts w:ascii="宋体" w:hAnsi="宋体" w:cs="宋体"/>
          <w:b/>
          <w:color w:val="000000" w:themeColor="text1"/>
          <w:kern w:val="0"/>
          <w:sz w:val="32"/>
          <w:szCs w:val="32"/>
          <w14:textFill>
            <w14:solidFill>
              <w14:schemeClr w14:val="tx1"/>
            </w14:solidFill>
          </w14:textFill>
        </w:rPr>
      </w:pPr>
    </w:p>
    <w:p>
      <w:pPr>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（填写正本或副本）</w:t>
      </w:r>
    </w:p>
    <w:p>
      <w:pPr>
        <w:spacing w:line="360" w:lineRule="auto"/>
        <w:ind w:firstLine="482" w:firstLineChars="200"/>
        <w:jc w:val="cente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项目名称：</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项目编号：</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所投采购包：</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482" w:firstLineChars="200"/>
        <w:jc w:val="center"/>
        <w:rPr>
          <w:rFonts w:ascii="宋体" w:hAnsi="宋体" w:cs="宋体"/>
          <w:b/>
          <w:color w:val="000000" w:themeColor="text1"/>
          <w:kern w:val="0"/>
          <w:sz w:val="24"/>
          <w:szCs w:val="24"/>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供应商：</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日  期：</w:t>
      </w:r>
      <w:r>
        <w:rPr>
          <w:rFonts w:hint="eastAsia" w:ascii="宋体" w:hAnsi="宋体" w:cs="宋体"/>
          <w:b/>
          <w:color w:val="000000" w:themeColor="text1"/>
          <w:kern w:val="0"/>
          <w:sz w:val="24"/>
          <w:szCs w:val="24"/>
          <w:u w:val="single"/>
          <w14:textFill>
            <w14:solidFill>
              <w14:schemeClr w14:val="tx1"/>
            </w14:solidFill>
          </w14:textFill>
        </w:rPr>
        <w:t xml:space="preserve">                 </w:t>
      </w: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格式1  供应商具备资格证明文件</w:t>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1-1供应商基本情况</w:t>
      </w:r>
    </w:p>
    <w:tbl>
      <w:tblPr>
        <w:tblStyle w:val="1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06"/>
        <w:gridCol w:w="1681"/>
        <w:gridCol w:w="1832"/>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w:t>
            </w:r>
          </w:p>
        </w:tc>
        <w:tc>
          <w:tcPr>
            <w:tcW w:w="2287"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w:t>
            </w: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统一社会信用代码</w:t>
            </w:r>
          </w:p>
        </w:tc>
        <w:tc>
          <w:tcPr>
            <w:tcW w:w="2287"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邮政编码</w:t>
            </w: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授权代表</w:t>
            </w:r>
          </w:p>
        </w:tc>
        <w:tc>
          <w:tcPr>
            <w:tcW w:w="2287"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联系电话</w:t>
            </w: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电子邮箱</w:t>
            </w:r>
          </w:p>
        </w:tc>
        <w:tc>
          <w:tcPr>
            <w:tcW w:w="2287"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传真</w:t>
            </w: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上年营业收入</w:t>
            </w:r>
          </w:p>
        </w:tc>
        <w:tc>
          <w:tcPr>
            <w:tcW w:w="2287"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员工总人数</w:t>
            </w: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基本账户开户行及账号</w:t>
            </w:r>
          </w:p>
        </w:tc>
        <w:tc>
          <w:tcPr>
            <w:tcW w:w="6429" w:type="dxa"/>
            <w:gridSpan w:val="3"/>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税务登记机关</w:t>
            </w:r>
          </w:p>
        </w:tc>
        <w:tc>
          <w:tcPr>
            <w:tcW w:w="6429" w:type="dxa"/>
            <w:gridSpan w:val="3"/>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资质名称</w:t>
            </w: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等级</w:t>
            </w: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发证机关</w:t>
            </w: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widowControl/>
              <w:spacing w:line="360" w:lineRule="auto"/>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直接控股股东名称</w:t>
            </w:r>
          </w:p>
        </w:tc>
        <w:tc>
          <w:tcPr>
            <w:tcW w:w="1681" w:type="dxa"/>
            <w:vAlign w:val="center"/>
          </w:tcPr>
          <w:p>
            <w:pPr>
              <w:widowControl/>
              <w:spacing w:line="360" w:lineRule="auto"/>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出资比例</w:t>
            </w:r>
          </w:p>
        </w:tc>
        <w:tc>
          <w:tcPr>
            <w:tcW w:w="4748" w:type="dxa"/>
            <w:gridSpan w:val="2"/>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bCs/>
                <w:color w:val="000000" w:themeColor="text1"/>
                <w:kern w:val="0"/>
                <w14:textFill>
                  <w14:solidFill>
                    <w14:schemeClr w14:val="tx1"/>
                  </w14:solidFill>
                </w14:textFill>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gridSpan w:val="3"/>
            <w:vAlign w:val="center"/>
          </w:tcPr>
          <w:p>
            <w:pPr>
              <w:widowControl/>
              <w:spacing w:line="360" w:lineRule="auto"/>
              <w:contextualSpacing/>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直接管理关系单位名称</w:t>
            </w:r>
          </w:p>
        </w:tc>
        <w:tc>
          <w:tcPr>
            <w:tcW w:w="4748" w:type="dxa"/>
            <w:gridSpan w:val="2"/>
            <w:vAlign w:val="center"/>
          </w:tcPr>
          <w:p>
            <w:pPr>
              <w:pStyle w:val="10"/>
              <w:jc w:val="center"/>
              <w:rPr>
                <w:rFonts w:hAnsi="宋体" w:cs="宋体"/>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pPr>
              <w:pStyle w:val="10"/>
              <w:spacing w:line="360" w:lineRule="auto"/>
              <w:jc w:val="center"/>
              <w:rPr>
                <w:rFonts w:hAnsi="宋体" w:cs="宋体"/>
                <w:color w:val="000000" w:themeColor="text1"/>
                <w14:textFill>
                  <w14:solidFill>
                    <w14:schemeClr w14:val="tx1"/>
                  </w14:solidFill>
                </w14:textFill>
              </w:rPr>
            </w:pPr>
          </w:p>
        </w:tc>
        <w:tc>
          <w:tcPr>
            <w:tcW w:w="1681"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1832" w:type="dxa"/>
            <w:vAlign w:val="center"/>
          </w:tcPr>
          <w:p>
            <w:pPr>
              <w:pStyle w:val="10"/>
              <w:spacing w:line="360" w:lineRule="auto"/>
              <w:jc w:val="center"/>
              <w:rPr>
                <w:rFonts w:hAnsi="宋体" w:cs="宋体"/>
                <w:color w:val="000000" w:themeColor="text1"/>
                <w14:textFill>
                  <w14:solidFill>
                    <w14:schemeClr w14:val="tx1"/>
                  </w14:solidFill>
                </w14:textFill>
              </w:rPr>
            </w:pPr>
          </w:p>
        </w:tc>
        <w:tc>
          <w:tcPr>
            <w:tcW w:w="2916" w:type="dxa"/>
            <w:vAlign w:val="center"/>
          </w:tcPr>
          <w:p>
            <w:pPr>
              <w:pStyle w:val="10"/>
              <w:spacing w:line="360" w:lineRule="auto"/>
              <w:jc w:val="center"/>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pPr>
              <w:pStyle w:val="1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备注</w:t>
            </w:r>
          </w:p>
        </w:tc>
        <w:tc>
          <w:tcPr>
            <w:tcW w:w="7035" w:type="dxa"/>
            <w:gridSpan w:val="4"/>
            <w:vAlign w:val="center"/>
          </w:tcPr>
          <w:p>
            <w:pPr>
              <w:pStyle w:val="10"/>
              <w:spacing w:line="360" w:lineRule="auto"/>
              <w:jc w:val="center"/>
              <w:rPr>
                <w:rFonts w:hAnsi="宋体" w:cs="宋体"/>
                <w:color w:val="000000" w:themeColor="text1"/>
                <w14:textFill>
                  <w14:solidFill>
                    <w14:schemeClr w14:val="tx1"/>
                  </w14:solidFill>
                </w14:textFill>
              </w:rPr>
            </w:pPr>
          </w:p>
        </w:tc>
      </w:tr>
    </w:tbl>
    <w:p>
      <w:pPr>
        <w:topLinePunct/>
        <w:autoSpaceDE w:val="0"/>
        <w:autoSpaceDN w:val="0"/>
        <w:spacing w:line="5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（供应商属于法人或者其他组织的，提供营业执照等证明文件；供应商属于自然人的，提供身份证明复印件。）</w:t>
      </w:r>
    </w:p>
    <w:p>
      <w:pPr>
        <w:spacing w:line="360" w:lineRule="auto"/>
        <w:contextualSpacing/>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pPr>
        <w:spacing w:line="360" w:lineRule="auto"/>
        <w:ind w:firstLine="422" w:firstLineChars="200"/>
        <w:contextualSpacing/>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w:t>
      </w:r>
    </w:p>
    <w:p>
      <w:pPr>
        <w:spacing w:line="360" w:lineRule="auto"/>
        <w:ind w:firstLine="422" w:firstLineChars="200"/>
        <w:contextualSpacing/>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2.本表所指的控股关系仅限于直接控股关系，不包括间接的控股关系。公司实际控制人与公司之间的关系不属于本表所指的直接控股关系。本表所指的管理关系仅限于直接管理关系，不包括间接的管理关系。</w:t>
      </w:r>
    </w:p>
    <w:p>
      <w:pPr>
        <w:tabs>
          <w:tab w:val="left" w:pos="1230"/>
        </w:tabs>
        <w:topLinePunct/>
        <w:autoSpaceDE w:val="0"/>
        <w:autoSpaceDN w:val="0"/>
        <w:adjustRightInd w:val="0"/>
        <w:snapToGri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3.供应商不存在直接控股股东或直接管理关系的，则填“无”。</w:t>
      </w:r>
    </w:p>
    <w:p>
      <w:pPr>
        <w:pStyle w:val="8"/>
        <w:rPr>
          <w:rFonts w:ascii="宋体" w:hAnsi="宋体" w:cs="宋体"/>
          <w:color w:val="000000" w:themeColor="text1"/>
          <w:sz w:val="24"/>
          <w14:textFill>
            <w14:solidFill>
              <w14:schemeClr w14:val="tx1"/>
            </w14:solidFill>
          </w14:textFill>
        </w:rPr>
      </w:pPr>
    </w:p>
    <w:p>
      <w:pPr>
        <w:pStyle w:val="8"/>
        <w:rPr>
          <w:rFonts w:ascii="宋体" w:hAnsi="宋体" w:cs="宋体"/>
          <w:color w:val="000000" w:themeColor="text1"/>
          <w:sz w:val="24"/>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pStyle w:val="10"/>
        <w:ind w:firstLine="420" w:firstLineChars="200"/>
        <w:rPr>
          <w:rFonts w:hAnsi="宋体" w:cs="宋体"/>
          <w:color w:val="000000" w:themeColor="text1"/>
          <w14:textFill>
            <w14:solidFill>
              <w14:schemeClr w14:val="tx1"/>
            </w14:solidFill>
          </w14:textFill>
        </w:rPr>
      </w:pPr>
    </w:p>
    <w:p>
      <w:pPr>
        <w:widowControl/>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1-2  财务状况报告</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1-3依法缴纳税收的相关材料</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1-4依法缴纳社会保障资金的相关材料</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adjustRightInd w:val="0"/>
        <w:snapToGrid w:val="0"/>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1-5参加本次采购活动前三年内在经营活动中</w:t>
      </w: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没有重大违法记录的书面声明</w:t>
      </w:r>
    </w:p>
    <w:p>
      <w:pPr>
        <w:pStyle w:val="10"/>
        <w:topLinePunct/>
        <w:autoSpaceDE w:val="0"/>
        <w:autoSpaceDN w:val="0"/>
        <w:snapToGrid w:val="0"/>
        <w:spacing w:line="360" w:lineRule="auto"/>
        <w:jc w:val="center"/>
        <w:rPr>
          <w:rFonts w:hAnsi="宋体" w:cs="宋体"/>
          <w:b/>
          <w:color w:val="000000" w:themeColor="text1"/>
          <w:w w:val="150"/>
          <w14:textFill>
            <w14:solidFill>
              <w14:schemeClr w14:val="tx1"/>
            </w14:solidFill>
          </w14:textFill>
        </w:rPr>
      </w:pPr>
    </w:p>
    <w:p>
      <w:pPr>
        <w:pStyle w:val="10"/>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致________（采购人或采购代理机构）：</w:t>
      </w:r>
    </w:p>
    <w:p>
      <w:pPr>
        <w:pStyle w:val="1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我单位在参加本次采购活动前三年内在经营活动中没有重大违法记录，包括：</w:t>
      </w:r>
    </w:p>
    <w:p>
      <w:pPr>
        <w:pStyle w:val="1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我单位未因经营活动中的违法行为受到刑事处罚或者责令停产停业、吊销许可证或者执照、较大数额罚款等行政处罚。</w:t>
      </w:r>
    </w:p>
    <w:p>
      <w:pPr>
        <w:pStyle w:val="1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特此声明！</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（请供应商根据实际情况如实声明，否则视为提供虚假材料。）</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jc w:val="center"/>
        <w:rPr>
          <w:rFonts w:ascii="宋体" w:hAnsi="宋体" w:cs="宋体"/>
          <w:color w:val="000000" w:themeColor="text1"/>
          <w:sz w:val="24"/>
          <w14:textFill>
            <w14:solidFill>
              <w14:schemeClr w14:val="tx1"/>
            </w14:solidFill>
          </w14:textFill>
        </w:rPr>
      </w:pPr>
    </w:p>
    <w:p>
      <w:pPr>
        <w:widowControl/>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1-6其他资格证明文件（若有）</w:t>
      </w:r>
    </w:p>
    <w:p>
      <w:pPr>
        <w:rPr>
          <w:rFonts w:ascii="宋体" w:hAnsi="宋体" w:cs="宋体"/>
          <w:color w:val="000000" w:themeColor="text1"/>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根据资格条件要求提供相应材料。</w:t>
      </w:r>
    </w:p>
    <w:p>
      <w:pPr>
        <w:rPr>
          <w:rFonts w:ascii="宋体" w:hAnsi="宋体" w:cs="宋体"/>
          <w:color w:val="000000" w:themeColor="text1"/>
          <w:sz w:val="24"/>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格式2   磋商报价表</w:t>
      </w:r>
    </w:p>
    <w:p>
      <w:pPr>
        <w:pStyle w:val="10"/>
        <w:topLinePunct/>
        <w:autoSpaceDE w:val="0"/>
        <w:autoSpaceDN w:val="0"/>
        <w:adjustRightInd w:val="0"/>
        <w:snapToGrid w:val="0"/>
        <w:spacing w:line="360" w:lineRule="auto"/>
        <w:ind w:left="2"/>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1.报价一览表（总报价表）</w:t>
      </w:r>
    </w:p>
    <w:p>
      <w:pPr>
        <w:pStyle w:val="10"/>
        <w:topLinePunct/>
        <w:autoSpaceDE w:val="0"/>
        <w:autoSpaceDN w:val="0"/>
        <w:adjustRightInd w:val="0"/>
        <w:snapToGrid w:val="0"/>
        <w:spacing w:line="360" w:lineRule="auto"/>
        <w:ind w:left="2"/>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（服务类项目适用）</w:t>
      </w:r>
    </w:p>
    <w:p>
      <w:pPr>
        <w:topLinePunct/>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adjustRightInd w:val="0"/>
        <w:snapToGrid w:val="0"/>
        <w:spacing w:line="360" w:lineRule="auto"/>
        <w:ind w:right="840"/>
        <w:rPr>
          <w:rFonts w:ascii="宋体" w:hAnsi="宋体" w:cs="宋体"/>
          <w:bCs/>
          <w:color w:val="000000" w:themeColor="text1"/>
          <w:w w:val="150"/>
          <w:szCs w:val="21"/>
          <w14:textFill>
            <w14:solidFill>
              <w14:schemeClr w14:val="tx1"/>
            </w14:solidFill>
          </w14:textFill>
        </w:rPr>
      </w:pPr>
      <w:r>
        <w:rPr>
          <w:rFonts w:hint="eastAsia" w:ascii="宋体" w:hAnsi="宋体" w:cs="宋体"/>
          <w:color w:val="000000" w:themeColor="text1"/>
          <w14:textFill>
            <w14:solidFill>
              <w14:schemeClr w14:val="tx1"/>
            </w14:solidFill>
          </w14:textFill>
        </w:rPr>
        <w:t>采购包号：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价格单位：人民币   元</w:t>
      </w:r>
    </w:p>
    <w:tbl>
      <w:tblPr>
        <w:tblStyle w:val="19"/>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85"/>
        <w:gridCol w:w="2347"/>
        <w:gridCol w:w="236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85" w:type="dxa"/>
            <w:noWrap/>
            <w:vAlign w:val="center"/>
          </w:tcPr>
          <w:p>
            <w:pPr>
              <w:adjustRightInd w:val="0"/>
              <w:snapToGrid w:val="0"/>
              <w:spacing w:before="62" w:beforeLines="20" w:after="62" w:afterLines="2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2347" w:type="dxa"/>
            <w:vAlign w:val="center"/>
          </w:tcPr>
          <w:p>
            <w:pPr>
              <w:adjustRightInd w:val="0"/>
              <w:snapToGrid w:val="0"/>
              <w:spacing w:before="62" w:beforeLines="20" w:after="62" w:afterLines="20"/>
              <w:ind w:left="-107" w:leftChars="-5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套餐名称</w:t>
            </w:r>
          </w:p>
        </w:tc>
        <w:tc>
          <w:tcPr>
            <w:tcW w:w="2360" w:type="dxa"/>
            <w:vAlign w:val="center"/>
          </w:tcPr>
          <w:p>
            <w:pPr>
              <w:adjustRightInd w:val="0"/>
              <w:snapToGrid w:val="0"/>
              <w:spacing w:before="62" w:beforeLines="20" w:after="62" w:afterLines="20"/>
              <w:ind w:left="-107" w:leftChars="-5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套餐总报价</w:t>
            </w:r>
          </w:p>
        </w:tc>
        <w:tc>
          <w:tcPr>
            <w:tcW w:w="2140" w:type="dxa"/>
            <w:noWrap/>
            <w:vAlign w:val="center"/>
          </w:tcPr>
          <w:p>
            <w:pPr>
              <w:adjustRightInd w:val="0"/>
              <w:snapToGrid w:val="0"/>
              <w:spacing w:before="62" w:beforeLines="20" w:after="62" w:afterLines="2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885" w:type="dxa"/>
            <w:vMerge w:val="restart"/>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套餐①（肺癌筛查）</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85" w:type="dxa"/>
            <w:vMerge w:val="continue"/>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套餐②（内分泌代谢性疾病筛查）</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885" w:type="dxa"/>
            <w:vMerge w:val="continue"/>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套餐③（心血管疾病筛查）</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885" w:type="dxa"/>
            <w:vMerge w:val="continue"/>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套餐④（脑血管疾病筛查）</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885" w:type="dxa"/>
            <w:vMerge w:val="continue"/>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套餐⑤（消化系统筛查）</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885" w:type="dxa"/>
            <w:vMerge w:val="continue"/>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套餐⑥（综合套餐）</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885" w:type="dxa"/>
            <w:vMerge w:val="continue"/>
            <w:noWrap/>
            <w:vAlign w:val="center"/>
          </w:tcPr>
          <w:p>
            <w:pPr>
              <w:spacing w:line="460" w:lineRule="exact"/>
              <w:jc w:val="left"/>
              <w:rPr>
                <w:rFonts w:ascii="宋体" w:hAnsi="宋体"/>
                <w:color w:val="000000" w:themeColor="text1"/>
                <w:szCs w:val="21"/>
                <w14:textFill>
                  <w14:solidFill>
                    <w14:schemeClr w14:val="tx1"/>
                  </w14:solidFill>
                </w14:textFill>
              </w:rPr>
            </w:pPr>
          </w:p>
        </w:tc>
        <w:tc>
          <w:tcPr>
            <w:tcW w:w="2347" w:type="dxa"/>
            <w:vAlign w:val="center"/>
          </w:tcPr>
          <w:p>
            <w:pPr>
              <w:spacing w:line="4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套餐⑦（协税员套餐）</w:t>
            </w:r>
          </w:p>
        </w:tc>
        <w:tc>
          <w:tcPr>
            <w:tcW w:w="2360" w:type="dxa"/>
            <w:vAlign w:val="center"/>
          </w:tcPr>
          <w:p>
            <w:pPr>
              <w:spacing w:line="460" w:lineRule="exact"/>
              <w:ind w:firstLine="1470" w:firstLineChars="700"/>
              <w:jc w:val="left"/>
              <w:rPr>
                <w:rFonts w:ascii="宋体" w:hAnsi="宋体"/>
                <w:color w:val="000000" w:themeColor="text1"/>
                <w:szCs w:val="21"/>
                <w:u w:val="single"/>
                <w14:textFill>
                  <w14:solidFill>
                    <w14:schemeClr w14:val="tx1"/>
                  </w14:solidFill>
                </w14:textFill>
              </w:rPr>
            </w:pPr>
          </w:p>
        </w:tc>
        <w:tc>
          <w:tcPr>
            <w:tcW w:w="2140" w:type="dxa"/>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36" w:type="dxa"/>
            <w:gridSpan w:val="5"/>
            <w:noWrap/>
            <w:vAlign w:val="center"/>
          </w:tcPr>
          <w:p>
            <w:pPr>
              <w:adjustRightInd w:val="0"/>
              <w:snapToGrid w:val="0"/>
              <w:spacing w:before="62" w:beforeLines="20" w:after="62" w:afterLines="20"/>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合计：人民币大写：       小写：（</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89" w:type="dxa"/>
            <w:gridSpan w:val="2"/>
            <w:noWrap/>
            <w:vAlign w:val="center"/>
          </w:tcPr>
          <w:p>
            <w:pPr>
              <w:adjustRightInd w:val="0"/>
              <w:snapToGrid w:val="0"/>
              <w:spacing w:before="62" w:beforeLines="20" w:after="62" w:afterLines="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w:t>
            </w:r>
          </w:p>
        </w:tc>
        <w:tc>
          <w:tcPr>
            <w:tcW w:w="6847" w:type="dxa"/>
            <w:gridSpan w:val="3"/>
            <w:noWrap/>
            <w:vAlign w:val="center"/>
          </w:tcPr>
          <w:p>
            <w:pPr>
              <w:adjustRightInd w:val="0"/>
              <w:snapToGrid w:val="0"/>
              <w:spacing w:before="62" w:beforeLines="20" w:after="62" w:afterLines="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自签订合同之日起至2025年12月31日止，服务期内须完成采购人在职职工及退休人员的体检服务（以实际体检人员数量为准）</w:t>
            </w:r>
          </w:p>
        </w:tc>
      </w:tr>
    </w:tbl>
    <w:p>
      <w:pPr>
        <w:pStyle w:val="10"/>
        <w:spacing w:line="400" w:lineRule="exact"/>
        <w:ind w:firstLine="420" w:firstLineChars="200"/>
        <w:rPr>
          <w:rFonts w:hAnsi="宋体" w:cs="宋体"/>
          <w:color w:val="000000" w:themeColor="text1"/>
          <w14:textFill>
            <w14:solidFill>
              <w14:schemeClr w14:val="tx1"/>
            </w14:solidFill>
          </w14:textFill>
        </w:rPr>
      </w:pPr>
    </w:p>
    <w:p>
      <w:pPr>
        <w:topLinePunct/>
        <w:autoSpaceDE w:val="0"/>
        <w:autoSpaceDN w:val="0"/>
        <w:spacing w:line="360" w:lineRule="auto"/>
        <w:rPr>
          <w:rFonts w:ascii="宋体" w:hAnsi="宋体" w:cs="宋体"/>
          <w:color w:val="000000" w:themeColor="text1"/>
          <w:szCs w:val="21"/>
          <w14:textFill>
            <w14:solidFill>
              <w14:schemeClr w14:val="tx1"/>
            </w14:solidFill>
          </w14:textFill>
        </w:rPr>
      </w:pPr>
    </w:p>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1.本项目总价及分项报价均不接受任何形式的赠送、“零”报价和折扣报价。</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2.本项目执行中所发生的所有费用均计入总报价中，采购人不再另行支付其他任何费用。</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3.供应商应根据《磋商文件－技术部分》相关要求填报。</w:t>
      </w: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pStyle w:val="8"/>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2、报价明细表</w:t>
      </w:r>
    </w:p>
    <w:p>
      <w:pPr>
        <w:tabs>
          <w:tab w:val="left" w:pos="1230"/>
        </w:tabs>
        <w:topLinePunct/>
        <w:autoSpaceDE w:val="0"/>
        <w:autoSpaceDN w:val="0"/>
        <w:adjustRightInd w:val="0"/>
        <w:snapToGrid w:val="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p>
    <w:p>
      <w:pPr>
        <w:tabs>
          <w:tab w:val="left" w:pos="1230"/>
        </w:tabs>
        <w:topLinePunct/>
        <w:autoSpaceDE w:val="0"/>
        <w:autoSpaceDN w:val="0"/>
        <w:adjustRightInd w:val="0"/>
        <w:snapToGrid w:val="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各套餐项目详细报价</w:t>
      </w:r>
    </w:p>
    <w:p>
      <w:pPr>
        <w:spacing w:line="400" w:lineRule="exact"/>
        <w:ind w:firstLine="420" w:firstLineChars="200"/>
        <w:rPr>
          <w:rFonts w:ascii="宋体" w:hAnsi="宋体" w:cs="宋体"/>
          <w:highlight w:val="yellow"/>
        </w:rPr>
      </w:pPr>
    </w:p>
    <w:tbl>
      <w:tblPr>
        <w:tblStyle w:val="19"/>
        <w:tblW w:w="9182" w:type="dxa"/>
        <w:tblInd w:w="93" w:type="dxa"/>
        <w:tblLayout w:type="fixed"/>
        <w:tblCellMar>
          <w:top w:w="0" w:type="dxa"/>
          <w:left w:w="108" w:type="dxa"/>
          <w:bottom w:w="0" w:type="dxa"/>
          <w:right w:w="108" w:type="dxa"/>
        </w:tblCellMar>
      </w:tblPr>
      <w:tblGrid>
        <w:gridCol w:w="2212"/>
        <w:gridCol w:w="123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Style w:val="42"/>
                <w:rFonts w:ascii="宋体" w:eastAsia="宋体" w:cs="宋体"/>
                <w:color w:val="auto"/>
                <w:lang w:bidi="ar"/>
              </w:rPr>
              <w:t xml:space="preserve">    2025年体检套餐①（肺癌筛查）</w:t>
            </w:r>
            <w:r>
              <w:rPr>
                <w:rStyle w:val="41"/>
                <w:rFonts w:ascii="宋体" w:eastAsia="宋体" w:cs="宋体"/>
                <w:color w:val="auto"/>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细胞角蛋白19片段测定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对非小细胞肺癌的早期诊断、疗效监测和预后判断有重要意义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胃泌素释放肽前体(proGRP)</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对小细胞肺癌的早期诊断、疗效监测和预后判断有重要意义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神经元特异性烯醇化酶NSE(肺癌标志物测定)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NSE是小细胞肺癌首选标志物，用于小细胞肺癌的诊断和监测治疗反应</w:t>
            </w:r>
          </w:p>
        </w:tc>
      </w:tr>
      <w:tr>
        <w:tblPrEx>
          <w:tblCellMar>
            <w:top w:w="0" w:type="dxa"/>
            <w:left w:w="108" w:type="dxa"/>
            <w:bottom w:w="0" w:type="dxa"/>
            <w:right w:w="108" w:type="dxa"/>
          </w:tblCellMar>
        </w:tblPrEx>
        <w:trPr>
          <w:trHeight w:val="144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鳞状细胞癌抗原Scc</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Scc存在于子宫、子宫颈、肺、头颈等鳞状上皮细胞癌的细胞浆中，特别在非角化癌的细胞中含量更丰富。临床上常用于监测上述恶性肿瘤的治疗效果、复发、转移或评价预后</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糖类抗原CA242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用于消化道恶性肿瘤尤其是胰腺癌、结直肠癌的诊断</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甲状腺功能三项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CA125是目前最重要的卵巢癌相关抗原，在其他相关肿瘤，如肺癌、胰腺癌、乳腺癌、肝癌、胃肠道恶性肿瘤、子宫内膜癌、输卵管癌等肿瘤中也可见升高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人附睾上皮分泌蛋白4(HE4)(女)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HE4联合CA125在卵巢癌的早期诊断、病情监测，与良性肿瘤的鉴别诊断中有重要的临床意义。HE4对于子宫内膜癌的诊断也有一定的敏感性</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糖基抗原CA153（女）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为乳腺癌相关抗原，存在于乳腺癌、卵巢癌、宫颈癌等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胸部高分辨CT双能平扫+靶三维成像</w:t>
            </w:r>
          </w:p>
          <w:p>
            <w:pPr>
              <w:widowControl/>
              <w:jc w:val="left"/>
              <w:textAlignment w:val="center"/>
              <w:rPr>
                <w:rFonts w:hint="eastAsia" w:ascii="宋体" w:hAnsi="宋体" w:eastAsia="宋体" w:cs="宋体"/>
                <w:kern w:val="0"/>
                <w:sz w:val="20"/>
                <w:szCs w:val="20"/>
                <w:lang w:eastAsia="zh-CN" w:bidi="ar"/>
              </w:rPr>
            </w:pPr>
          </w:p>
          <w:p>
            <w:pPr>
              <w:widowControl/>
              <w:jc w:val="left"/>
              <w:textAlignment w:val="center"/>
              <w:rPr>
                <w:rFonts w:ascii="宋体" w:hAnsi="宋体" w:cs="宋体"/>
                <w:sz w:val="20"/>
                <w:szCs w:val="20"/>
              </w:rPr>
            </w:pPr>
            <w:r>
              <w:rPr>
                <w:rFonts w:hint="eastAsia" w:ascii="宋体" w:hAnsi="宋体" w:cs="宋体"/>
                <w:kern w:val="0"/>
                <w:sz w:val="20"/>
                <w:szCs w:val="20"/>
                <w:lang w:bidi="ar"/>
              </w:rPr>
              <w:t>（工作日）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区分胸部大血管、软组织、淋巴结、肺、气管等器官、组织及关系，分辨肺部结节、肿瘤及血供情况，对肺栓塞、血管瘤等疾病诊断有一定帮助；协助判断纯磨玻璃结节倾向于良性病变或恶性病变（肺癌）</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胸部高分辨CT双能平扫+靶三维成像</w:t>
            </w:r>
          </w:p>
          <w:p>
            <w:pPr>
              <w:widowControl/>
              <w:jc w:val="left"/>
              <w:textAlignment w:val="center"/>
              <w:rPr>
                <w:rFonts w:hint="eastAsia" w:ascii="宋体" w:hAnsi="宋体" w:eastAsia="宋体" w:cs="宋体"/>
                <w:kern w:val="0"/>
                <w:sz w:val="20"/>
                <w:szCs w:val="20"/>
                <w:lang w:eastAsia="zh-CN" w:bidi="ar"/>
              </w:rPr>
            </w:pPr>
          </w:p>
          <w:p>
            <w:pPr>
              <w:widowControl/>
              <w:jc w:val="left"/>
              <w:textAlignment w:val="center"/>
              <w:rPr>
                <w:rFonts w:ascii="宋体" w:hAnsi="宋体" w:cs="宋体"/>
                <w:sz w:val="20"/>
                <w:szCs w:val="20"/>
              </w:rPr>
            </w:pPr>
            <w:r>
              <w:rPr>
                <w:rFonts w:hint="eastAsia" w:ascii="宋体" w:hAnsi="宋体" w:cs="宋体"/>
                <w:kern w:val="0"/>
                <w:sz w:val="20"/>
                <w:szCs w:val="20"/>
                <w:lang w:bidi="ar"/>
              </w:rPr>
              <w:t>（工作日）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泌尿系彩超(输尿管、膀胱)（女）</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合计（元）：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9182"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r>
              <w:rPr>
                <w:rFonts w:hint="eastAsia" w:ascii="宋体" w:hAnsi="宋体" w:cs="宋体"/>
                <w:sz w:val="20"/>
                <w:szCs w:val="20"/>
              </w:rPr>
              <w:t>总报价（男性体检+已婚女体检+未婚女体检）：</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9"/>
        <w:tblW w:w="9182" w:type="dxa"/>
        <w:tblInd w:w="93" w:type="dxa"/>
        <w:tblLayout w:type="fixed"/>
        <w:tblCellMar>
          <w:top w:w="0" w:type="dxa"/>
          <w:left w:w="108" w:type="dxa"/>
          <w:bottom w:w="0" w:type="dxa"/>
          <w:right w:w="108" w:type="dxa"/>
        </w:tblCellMar>
      </w:tblPr>
      <w:tblGrid>
        <w:gridCol w:w="2212"/>
        <w:gridCol w:w="123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2025年体检套餐②（内分泌代谢性疾病筛查）</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尿蛋白六项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慢性肾病的早期筛查，是肾损伤的早期敏感指标</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主要用于卵巢癌的筛查、诊断、治疗效果监测，对子宫颈腺癌、子宫内膜癌也有一定的诊断意义；子宫内膜异位症、子宫腺肌症、肝硬化失代偿期、女性早孕期也会发现升高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糖化血红蛋白</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反映2-3个月内平均血糖情况，用于糖尿病的筛查和疗效检测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胰岛素测定（空腹+餐后2h）</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协助糖尿病分型及评估胰岛β细胞功能</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甲状腺功能五项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甲状腺抗体三项（TGAb、TRAb、TPOAb）</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辅助诊断甲状腺疾病</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25羟基维生素D</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血清25羟维生素D水平可作为评估维生素D营养状况的客观指标，维生素D的缺乏可引起骨质疏松症等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骨钙素</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骨钙素在调节骨钙代谢中起重要作用，是研究骨代谢的一项新的生化标志物，对骨质疏松症、钙代谢异常等疾病诊断有重要价值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骨密度测定（双能X线）（周一至周六）</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明确是否有骨质疏松、骨量减少，提示骨折风险</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无创肝纤维化及脂肪定量检测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评估肝纤维化有无及程度，用于检测慢性肝病纤维化进展情况，可以作为门诊长期随访的指标</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双侧颈部血管超声(颈总动脉/颈外脉/颈内动脉）</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了解颈总动脉、颈内动脉、颈外动脉中内膜厚度、是否有斑块形成、狭窄等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了解颈总动脉中内膜厚度、是否有斑块形成、狭窄等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合计（元）：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9182" w:type="dxa"/>
            <w:gridSpan w:val="5"/>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20"/>
                <w:szCs w:val="20"/>
              </w:rPr>
            </w:pPr>
            <w:r>
              <w:rPr>
                <w:rFonts w:hint="eastAsia" w:ascii="宋体" w:hAnsi="宋体" w:cs="宋体"/>
                <w:sz w:val="20"/>
                <w:szCs w:val="20"/>
              </w:rPr>
              <w:t>总报价（男性体检+已婚女体检+未婚女体检）：</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9"/>
        <w:tblW w:w="9182" w:type="dxa"/>
        <w:tblInd w:w="93" w:type="dxa"/>
        <w:tblLayout w:type="autofit"/>
        <w:tblCellMar>
          <w:top w:w="0" w:type="dxa"/>
          <w:left w:w="108" w:type="dxa"/>
          <w:bottom w:w="0" w:type="dxa"/>
          <w:right w:w="108" w:type="dxa"/>
        </w:tblCellMar>
      </w:tblPr>
      <w:tblGrid>
        <w:gridCol w:w="2212"/>
        <w:gridCol w:w="123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 xml:space="preserve">          2025年体检套餐③（心血管疾病筛查）</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血清脂蛋白电泳分析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血清脂蛋白电泳作为常规血脂检测的补充，是心血管风险评估、高脂血症分型及病因鉴别、指导个性化治疗的重要工具，尤其适用于疑难血脂异常等的诊断与治疗指导。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电解质5项（钾、钠、氯、钙、磷）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了解电解质情况，指导合理膳食，协助诊断某些内分泌疾病</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同型半胱氨酸</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是动脉粥样硬化等心血管疾病的一个独立危险因子，早期识别动脉粥样硬化的危险性</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心肌酶六项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适用于怀疑有心肌疾病、骨骼肌病变的人检测，协助诊断心肌梗死、心肌炎等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甲状腺功能五项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心脏彩色超声(2DQ)</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了解心脏结构、血流情况、心功能及瓣膜病变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双侧颈部血管超声(颈总动脉/颈内动脉/颈外动脉）</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了解颈总动脉、颈内动脉、颈外动脉中内膜厚度、是否有斑块形成、狭窄等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全身动脉硬化监测</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筛查与诊断早期动脉硬化病变等，对心脑血管疾病及代谢类疾病的防治有重要的指导意义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泌尿系彩超(输尿管、膀胱)（女）</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合计（元）：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9182"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ascii="宋体" w:hAnsi="宋体" w:cs="宋体"/>
                <w:sz w:val="20"/>
                <w:szCs w:val="20"/>
              </w:rPr>
              <w:t>总报价（男性体检+已婚女体检+未婚女体检）：</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9"/>
        <w:tblW w:w="9182" w:type="dxa"/>
        <w:tblInd w:w="93" w:type="dxa"/>
        <w:tblLayout w:type="fixed"/>
        <w:tblCellMar>
          <w:top w:w="0" w:type="dxa"/>
          <w:left w:w="108" w:type="dxa"/>
          <w:bottom w:w="0" w:type="dxa"/>
          <w:right w:w="108" w:type="dxa"/>
        </w:tblCellMar>
      </w:tblPr>
      <w:tblGrid>
        <w:gridCol w:w="2295"/>
        <w:gridCol w:w="1147"/>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2025年体检套餐④（脑血管疾病筛查）</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糖化血红蛋白</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反映2-3个月内平均血糖情况，用于糖尿病的筛查和疗效检测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同型半胱氨酸</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是动脉粥样硬化等心血管疾病的一个独立危险因子，早期识别动脉粥样硬化的危险性</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血清肌钙蛋白I</w:t>
            </w:r>
          </w:p>
        </w:tc>
        <w:tc>
          <w:tcPr>
            <w:tcW w:w="1147"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评价是否存在心肌梗死的特异性标志物之一</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14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甲状腺功能三项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头颅CT平扫</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应用于颅脑病变的定性和定量诊断</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双侧颈部血管超声(颈总动脉/颈外动脉/颈内动脉/颈内静脉/椎动脉/锁骨下动脉/头臂干）</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了解颈总动脉、颈外动脉、颈内动脉、颈内静脉、椎动脉、锁骨下动脉、头臂干中内膜厚度、是否有斑块形成、狭窄等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双侧颈部血管超声(颈总动脉/椎动脉）</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了解颈总动脉、椎动脉中内膜厚度、是否有斑块形成、狭窄等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全身动脉硬化监测</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了解全身大动脉硬化情况</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眼科(视力、眼底、裂隙灯)</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检查眼外观和视力是否正常，眼底是否黄斑变性和动脉硬化，角膜有无病变，晶状体有无病变（白内障）</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合计（元）：</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9182"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r>
              <w:rPr>
                <w:rFonts w:hint="eastAsia" w:ascii="宋体" w:hAnsi="宋体" w:cs="宋体"/>
                <w:sz w:val="20"/>
                <w:szCs w:val="20"/>
              </w:rPr>
              <w:t>总报价（男性体检+已婚女体检+未婚女体检）：</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9"/>
        <w:tblW w:w="9182" w:type="dxa"/>
        <w:tblInd w:w="93" w:type="dxa"/>
        <w:tblLayout w:type="autofit"/>
        <w:tblCellMar>
          <w:top w:w="0" w:type="dxa"/>
          <w:left w:w="108" w:type="dxa"/>
          <w:bottom w:w="0" w:type="dxa"/>
          <w:right w:w="108" w:type="dxa"/>
        </w:tblCellMar>
      </w:tblPr>
      <w:tblGrid>
        <w:gridCol w:w="2292"/>
        <w:gridCol w:w="115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2025年体检套餐⑤（消化系统筛查）</w:t>
            </w:r>
            <w:r>
              <w:rPr>
                <w:rStyle w:val="43"/>
                <w:rFonts w:ascii="宋体" w:eastAsia="宋体" w:cs="宋体"/>
                <w:color w:val="auto"/>
                <w:lang w:bidi="ar"/>
              </w:rPr>
              <w:t xml:space="preserve"> </w:t>
            </w:r>
          </w:p>
        </w:tc>
      </w:tr>
      <w:tr>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肾功能3项(尿素、尿酸、肌酐)</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肝肿瘤二项（甲胎蛋白AFP定量、甲胎蛋白异质体）</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对肝细胞癌的诊断有重要意义，可用于鉴别肝癌与良性肝病，提高早期肝癌的检出率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肝肿瘤三项（甲胎蛋白AFP定量、甲胎蛋白异质体、异常凝血酶原）</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对肝细胞癌的诊断有重要意义，可用于鉴别肝癌与良性肝病，提高早期肝癌的检出率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肝吸虫酶标抗体</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肝吸虫感染的辅助诊断指标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胃功能4项（胃泌素17、PGI、PGII、PCR）</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辅助诊断胃泌素瘤，判断胃分泌功能，早期筛查胃部疾病，了解胃部健康状况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丙型肝炎抗体</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了解丙型肝炎病毒感染情况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乙肝两对半（定量）</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了解乙型肝炎病毒感染情况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碳14幽门螺旋杆菌吹气试验</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诊断是否有幽门螺旋杆菌（Hp）感染，Hp感染是慢性胃炎、消化性溃疡的最主要病因，与胃癌的发生有一定关系</w:t>
            </w: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上腹部CT平扫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了解上腹部各脏器的大体病变，如炎症、肿块等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合计（元）：</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9182"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r>
              <w:rPr>
                <w:rFonts w:hint="eastAsia" w:ascii="宋体" w:hAnsi="宋体" w:cs="宋体"/>
                <w:sz w:val="20"/>
                <w:szCs w:val="20"/>
              </w:rPr>
              <w:t>总报价（男性体检+已婚女体检+未婚女体检）：</w:t>
            </w:r>
          </w:p>
        </w:tc>
      </w:tr>
    </w:tbl>
    <w:p>
      <w:pPr>
        <w:rPr>
          <w:rFonts w:ascii="宋体" w:hAnsi="宋体" w:cs="宋体"/>
        </w:rPr>
      </w:pPr>
    </w:p>
    <w:tbl>
      <w:tblPr>
        <w:tblStyle w:val="19"/>
        <w:tblW w:w="9182" w:type="dxa"/>
        <w:tblInd w:w="93" w:type="dxa"/>
        <w:tblLayout w:type="autofit"/>
        <w:tblCellMar>
          <w:top w:w="0" w:type="dxa"/>
          <w:left w:w="108" w:type="dxa"/>
          <w:bottom w:w="0" w:type="dxa"/>
          <w:right w:w="108" w:type="dxa"/>
        </w:tblCellMar>
      </w:tblPr>
      <w:tblGrid>
        <w:gridCol w:w="2292"/>
        <w:gridCol w:w="115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2025年体检套餐⑥（综合套餐）</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糖化血红蛋白</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反映2-3个月内平均血糖情况，用于糖尿病的筛查和疗效检测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EB病毒2项（VCA/IgA、EA/IgA）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鼻咽癌普查</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肝肿瘤二项（甲胎蛋白AFP定量、甲胎蛋白异质体）</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对肝细胞癌的诊断有重要意义，可用于鉴别肝癌与良性肝病，提高早期肝癌的检出率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胃泌素17</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辅助诊断胃泌素瘤，判断胃分泌功能，早期筛查胃部疾病，了解胃部健康状况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甲功五项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碳14幽门螺旋杆菌吹气试验</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诊断是否有幽门螺旋杆菌（Hp）感染，Hp感染是慢性胃炎、消化性溃疡的最主要病因，与胃癌的发生有一定关系</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头颅CT平扫</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应用于颅脑病变的定性和定量诊断</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了解颈总动脉中内膜厚度、是否有斑块形成、狭窄等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泌尿系彩超(输尿管、膀胱)（女）</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了解双肾、膀胱、输尿管有无肿块、结石等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以实际产生费用为准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合计（元）：</w:t>
            </w:r>
          </w:p>
        </w:tc>
        <w:tc>
          <w:tcPr>
            <w:tcW w:w="11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2"/>
              </w:rPr>
            </w:pPr>
            <w:r>
              <w:rPr>
                <w:rFonts w:hint="eastAsia" w:ascii="宋体" w:hAnsi="宋体" w:cs="宋体"/>
                <w:sz w:val="20"/>
                <w:szCs w:val="20"/>
              </w:rPr>
              <w:t>总报价（男性体检+已婚女体检+未婚女体检）：</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9"/>
        <w:tblW w:w="9182" w:type="dxa"/>
        <w:tblInd w:w="93" w:type="dxa"/>
        <w:tblLayout w:type="fixed"/>
        <w:tblCellMar>
          <w:top w:w="0" w:type="dxa"/>
          <w:left w:w="108" w:type="dxa"/>
          <w:bottom w:w="0" w:type="dxa"/>
          <w:right w:w="108" w:type="dxa"/>
        </w:tblCellMar>
      </w:tblPr>
      <w:tblGrid>
        <w:gridCol w:w="2292"/>
        <w:gridCol w:w="115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Style w:val="36"/>
                <w:color w:val="auto"/>
                <w:lang w:bidi="ar"/>
              </w:rPr>
              <w:t>2025年体检套餐⑦（协税员套餐）</w:t>
            </w:r>
            <w:r>
              <w:rPr>
                <w:rStyle w:val="44"/>
                <w:rFonts w:hint="eastAsia" w:ascii="宋体" w:hAnsi="宋体" w:cs="宋体"/>
                <w:color w:val="auto"/>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未婚女（元）</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肝功能检测2项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肾功能3项检测(尿素、尿酸、肌酐)</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血脂检测4项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从血糖水平了解是否有低血糖、糖尿病，了解血糖控制情况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了解尿液的酸碱性，尿的比重、尿液成分是否正常：如红白细胞情况、蛋白尿、尿糖、尿酮体等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对诊断肝细胞癌及滋养细胞恶性肿瘤有重要意义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血清促甲状腺激素测定</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胸部正位片</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了解肺部的大体病变，如肺部炎症、肿块、结核等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了解肝、胆、肾、脾、胰等器官有无形态学变化，有无结石、肿瘤等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合计（元）：</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24"/>
                <w:szCs w:val="24"/>
              </w:rPr>
            </w:pPr>
          </w:p>
        </w:tc>
      </w:tr>
      <w:tr>
        <w:tblPrEx>
          <w:tblCellMar>
            <w:top w:w="0" w:type="dxa"/>
            <w:left w:w="108" w:type="dxa"/>
            <w:bottom w:w="0" w:type="dxa"/>
            <w:right w:w="108" w:type="dxa"/>
          </w:tblCellMar>
        </w:tblPrEx>
        <w:trPr>
          <w:trHeight w:val="480" w:hRule="atLeast"/>
        </w:trPr>
        <w:tc>
          <w:tcPr>
            <w:tcW w:w="9182"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bCs/>
                <w:sz w:val="24"/>
                <w:szCs w:val="24"/>
              </w:rPr>
            </w:pPr>
            <w:r>
              <w:rPr>
                <w:rFonts w:hint="eastAsia" w:ascii="宋体" w:hAnsi="宋体" w:cs="宋体"/>
                <w:sz w:val="20"/>
                <w:szCs w:val="20"/>
              </w:rPr>
              <w:t>总报价（男性体检+已婚女体检+未婚女体检）：</w:t>
            </w:r>
          </w:p>
        </w:tc>
      </w:tr>
    </w:tbl>
    <w:p>
      <w:pPr>
        <w:tabs>
          <w:tab w:val="left" w:pos="1230"/>
        </w:tabs>
        <w:topLinePunct/>
        <w:autoSpaceDE w:val="0"/>
        <w:autoSpaceDN w:val="0"/>
        <w:adjustRightInd w:val="0"/>
        <w:snapToGrid w:val="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格式3  中小企业声明函</w:t>
      </w:r>
    </w:p>
    <w:p>
      <w:pPr>
        <w:widowControl/>
        <w:jc w:val="center"/>
        <w:rPr>
          <w:rFonts w:ascii="宋体" w:hAnsi="宋体" w:cs="宋体"/>
          <w:b/>
          <w:bCs/>
          <w:sz w:val="28"/>
          <w:szCs w:val="28"/>
        </w:rPr>
      </w:pPr>
      <w:r>
        <w:rPr>
          <w:rFonts w:hint="eastAsia" w:ascii="宋体" w:hAnsi="宋体" w:cs="宋体"/>
          <w:b/>
          <w:bCs/>
          <w:sz w:val="28"/>
          <w:szCs w:val="28"/>
          <w:lang w:bidi="ar"/>
        </w:rPr>
        <w:t>中小企业声明函（服务）</w:t>
      </w:r>
    </w:p>
    <w:p>
      <w:pPr>
        <w:widowControl/>
        <w:spacing w:line="360" w:lineRule="auto"/>
        <w:ind w:firstLine="480" w:firstLineChars="200"/>
        <w:jc w:val="left"/>
        <w:rPr>
          <w:rFonts w:ascii="宋体" w:hAnsi="宋体" w:cs="宋体"/>
          <w:kern w:val="0"/>
          <w:sz w:val="24"/>
        </w:rPr>
      </w:pPr>
    </w:p>
    <w:p>
      <w:pPr>
        <w:pStyle w:val="15"/>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hint="eastAsia" w:ascii="Times New Roman" w:hAnsi="Times New Roman" w:cs="Times New Roman"/>
          <w:kern w:val="2"/>
          <w:sz w:val="21"/>
          <w:szCs w:val="21"/>
          <w:lang w:bidi="ar"/>
        </w:rPr>
        <w:t>本公司</w:t>
      </w:r>
      <w:r>
        <w:rPr>
          <w:rFonts w:hint="eastAsia"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（联合体）郑重声明，根据《政府采购促进中小企业发展管理办法》（财库﹝</w:t>
      </w:r>
      <w:r>
        <w:rPr>
          <w:rFonts w:ascii="Times New Roman" w:hAnsi="Times New Roman" w:cs="Times New Roman"/>
          <w:kern w:val="2"/>
          <w:sz w:val="21"/>
          <w:szCs w:val="21"/>
          <w:lang w:bidi="ar"/>
        </w:rPr>
        <w:t>2020</w:t>
      </w:r>
      <w:r>
        <w:rPr>
          <w:rFonts w:hint="eastAsia" w:ascii="Times New Roman" w:hAnsi="Times New Roman" w:cs="Times New Roman"/>
          <w:kern w:val="2"/>
          <w:sz w:val="21"/>
          <w:szCs w:val="21"/>
          <w:lang w:bidi="ar"/>
        </w:rPr>
        <w:t>﹞</w:t>
      </w:r>
      <w:r>
        <w:rPr>
          <w:rFonts w:ascii="Times New Roman" w:hAnsi="Times New Roman" w:cs="Times New Roman"/>
          <w:kern w:val="2"/>
          <w:sz w:val="21"/>
          <w:szCs w:val="21"/>
          <w:lang w:bidi="ar"/>
        </w:rPr>
        <w:t xml:space="preserve">46 </w:t>
      </w:r>
      <w:r>
        <w:rPr>
          <w:rFonts w:hint="eastAsia" w:ascii="Times New Roman" w:hAnsi="Times New Roman" w:cs="Times New Roman"/>
          <w:kern w:val="2"/>
          <w:sz w:val="21"/>
          <w:szCs w:val="21"/>
          <w:lang w:bidi="ar"/>
        </w:rPr>
        <w:t>号）的规定，本公司（联合体）参加</w:t>
      </w:r>
      <w:r>
        <w:rPr>
          <w:rFonts w:hint="eastAsia" w:ascii="Times New Roman" w:hAnsi="Times New Roman" w:cs="Times New Roman"/>
          <w:kern w:val="2"/>
          <w:sz w:val="21"/>
          <w:szCs w:val="21"/>
          <w:u w:val="single"/>
          <w:lang w:bidi="ar"/>
        </w:rPr>
        <w:t>国家税务总局南宁市良庆区税务局2025年体检服务（项目名称）</w:t>
      </w:r>
      <w:r>
        <w:rPr>
          <w:rFonts w:hint="eastAsia" w:ascii="Times New Roman" w:hAnsi="Times New Roman" w:cs="Times New Roman"/>
          <w:kern w:val="2"/>
          <w:sz w:val="21"/>
          <w:szCs w:val="21"/>
          <w:lang w:bidi="ar"/>
        </w:rPr>
        <w:t>采购活动，服务全部由符合政策要求的中小企业承接。相关企业（含联合体中的中小企业、签订分包意向协议的中小企业）的具体情况如下：</w:t>
      </w:r>
    </w:p>
    <w:p>
      <w:pPr>
        <w:pStyle w:val="15"/>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ascii="Times New Roman" w:hAnsi="Times New Roman" w:cs="Times New Roman"/>
          <w:kern w:val="2"/>
          <w:sz w:val="21"/>
          <w:szCs w:val="21"/>
          <w:lang w:bidi="ar"/>
        </w:rPr>
        <w:t>1.</w:t>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u w:val="single"/>
          <w:lang w:bidi="ar"/>
        </w:rPr>
        <w:t>国家税务总局南宁市良庆区税务局2025年体检服务</w:t>
      </w:r>
      <w:r>
        <w:rPr>
          <w:rFonts w:hint="eastAsia"/>
          <w:sz w:val="21"/>
          <w:szCs w:val="21"/>
          <w:u w:val="single"/>
        </w:rPr>
        <w:t>（标的名称）</w:t>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，属于</w:t>
      </w:r>
      <w:r>
        <w:rPr>
          <w:rFonts w:hint="eastAsia" w:ascii="Times New Roman" w:hAnsi="Times New Roman" w:cs="Times New Roman"/>
          <w:kern w:val="2"/>
          <w:sz w:val="21"/>
          <w:szCs w:val="21"/>
          <w:u w:val="single"/>
          <w:lang w:bidi="ar"/>
        </w:rPr>
        <w:t xml:space="preserve"> 其他未列明行业</w:t>
      </w:r>
      <w:r>
        <w:rPr>
          <w:rFonts w:hint="eastAsia" w:ascii="Times New Roman" w:hAnsi="Times New Roman" w:cs="Times New Roman"/>
          <w:kern w:val="2"/>
          <w:sz w:val="21"/>
          <w:szCs w:val="21"/>
          <w:lang w:bidi="ar"/>
        </w:rPr>
        <w:t>；承建（承接）企业为</w:t>
      </w:r>
      <w:r>
        <w:rPr>
          <w:rFonts w:hint="eastAsia" w:ascii="Times New Roman" w:hAnsi="Times New Roman" w:cs="Times New Roman"/>
          <w:kern w:val="2"/>
          <w:sz w:val="21"/>
          <w:szCs w:val="21"/>
          <w:u w:val="single"/>
          <w:lang w:bidi="ar"/>
        </w:rPr>
        <w:t xml:space="preserve">        （企业名称）</w:t>
      </w:r>
      <w:r>
        <w:rPr>
          <w:rFonts w:hint="eastAsia" w:ascii="Times New Roman" w:hAnsi="Times New Roman" w:cs="Times New Roman"/>
          <w:kern w:val="2"/>
          <w:sz w:val="21"/>
          <w:szCs w:val="21"/>
          <w:lang w:bidi="ar"/>
        </w:rPr>
        <w:t>，从业人员</w:t>
      </w:r>
      <w:r>
        <w:rPr>
          <w:rFonts w:ascii="Times New Roman" w:hAnsi="Times New Roman" w:cs="Times New Roman"/>
          <w:kern w:val="2"/>
          <w:sz w:val="21"/>
          <w:szCs w:val="21"/>
          <w:u w:val="single"/>
          <w:lang w:bidi="ar"/>
        </w:rPr>
        <w:tab/>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人，营业收入为</w:t>
      </w:r>
      <w:r>
        <w:rPr>
          <w:rFonts w:ascii="Times New Roman" w:hAnsi="Times New Roman" w:cs="Times New Roman"/>
          <w:kern w:val="2"/>
          <w:sz w:val="21"/>
          <w:szCs w:val="21"/>
          <w:u w:val="single"/>
          <w:lang w:bidi="ar"/>
        </w:rPr>
        <w:tab/>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万元，资产总额为</w:t>
      </w:r>
      <w:r>
        <w:rPr>
          <w:rFonts w:ascii="Times New Roman" w:hAnsi="Times New Roman" w:cs="Times New Roman"/>
          <w:kern w:val="2"/>
          <w:sz w:val="21"/>
          <w:szCs w:val="21"/>
          <w:u w:val="single"/>
          <w:lang w:bidi="ar"/>
        </w:rPr>
        <w:tab/>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万元</w:t>
      </w:r>
      <w:r>
        <w:rPr>
          <w:rFonts w:ascii="Times New Roman" w:hAnsi="Times New Roman" w:cs="Times New Roman"/>
          <w:kern w:val="2"/>
          <w:sz w:val="21"/>
          <w:szCs w:val="21"/>
          <w:vertAlign w:val="superscript"/>
          <w:lang w:bidi="ar"/>
        </w:rPr>
        <w:t>1</w:t>
      </w:r>
      <w:r>
        <w:rPr>
          <w:rFonts w:hint="eastAsia" w:ascii="Times New Roman" w:hAnsi="Times New Roman" w:cs="Times New Roman"/>
          <w:kern w:val="2"/>
          <w:sz w:val="21"/>
          <w:szCs w:val="21"/>
          <w:lang w:bidi="ar"/>
        </w:rPr>
        <w:t>，属于</w:t>
      </w:r>
      <w:r>
        <w:rPr>
          <w:rFonts w:hint="eastAsia" w:ascii="Times New Roman" w:hAnsi="Times New Roman" w:cs="Times New Roman"/>
          <w:kern w:val="2"/>
          <w:sz w:val="21"/>
          <w:szCs w:val="21"/>
          <w:u w:val="single"/>
          <w:lang w:bidi="ar"/>
        </w:rPr>
        <w:t>（</w:t>
      </w:r>
      <w:r>
        <w:rPr>
          <w:rFonts w:hint="eastAsia" w:ascii="Times New Roman" w:hAnsi="Times New Roman" w:cs="Times New Roman"/>
          <w:kern w:val="2"/>
          <w:sz w:val="21"/>
          <w:szCs w:val="21"/>
          <w:u w:val="single"/>
          <w:lang w:bidi="ar"/>
        </w:rPr>
        <w:sym w:font="Wingdings" w:char="00A8"/>
      </w:r>
      <w:r>
        <w:rPr>
          <w:rFonts w:hint="eastAsia" w:ascii="Times New Roman" w:hAnsi="Times New Roman" w:cs="Times New Roman"/>
          <w:kern w:val="2"/>
          <w:sz w:val="21"/>
          <w:szCs w:val="21"/>
          <w:u w:val="single"/>
          <w:lang w:bidi="ar"/>
        </w:rPr>
        <w:t>中型企业、</w:t>
      </w:r>
      <w:r>
        <w:rPr>
          <w:rFonts w:hint="eastAsia" w:ascii="Times New Roman" w:hAnsi="Times New Roman" w:cs="Times New Roman"/>
          <w:kern w:val="2"/>
          <w:sz w:val="21"/>
          <w:szCs w:val="21"/>
          <w:u w:val="single"/>
          <w:lang w:bidi="ar"/>
        </w:rPr>
        <w:sym w:font="Wingdings" w:char="00A8"/>
      </w:r>
      <w:r>
        <w:rPr>
          <w:rFonts w:hint="eastAsia" w:ascii="Times New Roman" w:hAnsi="Times New Roman" w:cs="Times New Roman"/>
          <w:kern w:val="2"/>
          <w:sz w:val="21"/>
          <w:szCs w:val="21"/>
          <w:u w:val="single"/>
          <w:lang w:bidi="ar"/>
        </w:rPr>
        <w:t>小型企业、</w:t>
      </w:r>
      <w:r>
        <w:rPr>
          <w:rFonts w:hint="eastAsia" w:ascii="Times New Roman" w:hAnsi="Times New Roman" w:cs="Times New Roman"/>
          <w:kern w:val="2"/>
          <w:sz w:val="21"/>
          <w:szCs w:val="21"/>
          <w:u w:val="single"/>
          <w:lang w:bidi="ar"/>
        </w:rPr>
        <w:sym w:font="Wingdings" w:char="00A8"/>
      </w:r>
      <w:r>
        <w:rPr>
          <w:rFonts w:hint="eastAsia" w:ascii="Times New Roman" w:hAnsi="Times New Roman" w:cs="Times New Roman"/>
          <w:kern w:val="2"/>
          <w:sz w:val="21"/>
          <w:szCs w:val="21"/>
          <w:u w:val="single"/>
          <w:lang w:bidi="ar"/>
        </w:rPr>
        <w:t>微型企业）</w:t>
      </w:r>
      <w:r>
        <w:rPr>
          <w:rFonts w:hint="eastAsia" w:ascii="Times New Roman" w:hAnsi="Times New Roman" w:cs="Times New Roman"/>
          <w:kern w:val="2"/>
          <w:sz w:val="21"/>
          <w:szCs w:val="21"/>
          <w:lang w:bidi="ar"/>
        </w:rPr>
        <w:t>；</w:t>
      </w:r>
      <w:r>
        <w:rPr>
          <w:rFonts w:ascii="Times New Roman" w:hAnsi="Times New Roman" w:cs="Times New Roman"/>
          <w:kern w:val="2"/>
          <w:sz w:val="21"/>
          <w:szCs w:val="21"/>
          <w:lang w:bidi="ar"/>
        </w:rPr>
        <w:t xml:space="preserve"> </w:t>
      </w:r>
    </w:p>
    <w:p>
      <w:pPr>
        <w:pStyle w:val="15"/>
        <w:widowControl w:val="0"/>
        <w:snapToGrid w:val="0"/>
        <w:spacing w:before="0" w:beforeAutospacing="0" w:after="0" w:afterAutospacing="0" w:line="360" w:lineRule="auto"/>
        <w:ind w:firstLine="420" w:firstLineChars="200"/>
        <w:jc w:val="both"/>
        <w:rPr>
          <w:rFonts w:ascii="Times New Roman" w:hAnsi="Times New Roman" w:cs="Times New Roman"/>
          <w:kern w:val="2"/>
          <w:sz w:val="21"/>
          <w:szCs w:val="21"/>
          <w:lang w:bidi="ar"/>
        </w:rPr>
      </w:pPr>
      <w:r>
        <w:rPr>
          <w:rFonts w:ascii="Times New Roman" w:hAnsi="Times New Roman" w:cs="Times New Roman"/>
          <w:kern w:val="2"/>
          <w:sz w:val="21"/>
          <w:szCs w:val="21"/>
          <w:lang w:bidi="ar"/>
        </w:rPr>
        <w:t>2.</w:t>
      </w:r>
      <w:r>
        <w:rPr>
          <w:rFonts w:ascii="Times New Roman" w:hAnsi="Times New Roman" w:cs="Times New Roman"/>
          <w:kern w:val="2"/>
          <w:sz w:val="21"/>
          <w:szCs w:val="21"/>
          <w:u w:val="single"/>
          <w:lang w:bidi="ar"/>
        </w:rPr>
        <w:t xml:space="preserve"> </w:t>
      </w:r>
      <w:r>
        <w:rPr>
          <w:rFonts w:hint="eastAsia"/>
          <w:sz w:val="21"/>
          <w:szCs w:val="21"/>
          <w:u w:val="single"/>
        </w:rPr>
        <w:t xml:space="preserve">       （标的名称）</w:t>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，属于</w:t>
      </w:r>
      <w:r>
        <w:rPr>
          <w:rFonts w:hint="eastAsia"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；承建（承接）企业为</w:t>
      </w:r>
      <w:r>
        <w:rPr>
          <w:rFonts w:hint="eastAsia" w:ascii="Times New Roman" w:hAnsi="Times New Roman" w:cs="Times New Roman"/>
          <w:kern w:val="2"/>
          <w:sz w:val="21"/>
          <w:szCs w:val="21"/>
          <w:u w:val="single"/>
          <w:lang w:bidi="ar"/>
        </w:rPr>
        <w:t xml:space="preserve">        （企业名称）</w:t>
      </w:r>
      <w:r>
        <w:rPr>
          <w:rFonts w:hint="eastAsia" w:ascii="Times New Roman" w:hAnsi="Times New Roman" w:cs="Times New Roman"/>
          <w:kern w:val="2"/>
          <w:sz w:val="21"/>
          <w:szCs w:val="21"/>
          <w:lang w:bidi="ar"/>
        </w:rPr>
        <w:t>，从业人员</w:t>
      </w:r>
      <w:r>
        <w:rPr>
          <w:rFonts w:ascii="Times New Roman" w:hAnsi="Times New Roman" w:cs="Times New Roman"/>
          <w:kern w:val="2"/>
          <w:sz w:val="21"/>
          <w:szCs w:val="21"/>
          <w:u w:val="single"/>
          <w:lang w:bidi="ar"/>
        </w:rPr>
        <w:tab/>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人，营业收入为</w:t>
      </w:r>
      <w:r>
        <w:rPr>
          <w:rFonts w:ascii="Times New Roman" w:hAnsi="Times New Roman" w:cs="Times New Roman"/>
          <w:kern w:val="2"/>
          <w:sz w:val="21"/>
          <w:szCs w:val="21"/>
          <w:u w:val="single"/>
          <w:lang w:bidi="ar"/>
        </w:rPr>
        <w:tab/>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万元，资产总额为</w:t>
      </w:r>
      <w:r>
        <w:rPr>
          <w:rFonts w:ascii="Times New Roman" w:hAnsi="Times New Roman" w:cs="Times New Roman"/>
          <w:kern w:val="2"/>
          <w:sz w:val="21"/>
          <w:szCs w:val="21"/>
          <w:u w:val="single"/>
          <w:lang w:bidi="ar"/>
        </w:rPr>
        <w:tab/>
      </w:r>
      <w:r>
        <w:rPr>
          <w:rFonts w:ascii="Times New Roman" w:hAnsi="Times New Roman" w:cs="Times New Roman"/>
          <w:kern w:val="2"/>
          <w:sz w:val="21"/>
          <w:szCs w:val="21"/>
          <w:u w:val="single"/>
          <w:lang w:bidi="ar"/>
        </w:rPr>
        <w:t xml:space="preserve">   </w:t>
      </w:r>
      <w:r>
        <w:rPr>
          <w:rFonts w:hint="eastAsia" w:ascii="Times New Roman" w:hAnsi="Times New Roman" w:cs="Times New Roman"/>
          <w:kern w:val="2"/>
          <w:sz w:val="21"/>
          <w:szCs w:val="21"/>
          <w:lang w:bidi="ar"/>
        </w:rPr>
        <w:t>万元</w:t>
      </w:r>
      <w:r>
        <w:rPr>
          <w:rFonts w:ascii="Times New Roman" w:hAnsi="Times New Roman" w:cs="Times New Roman"/>
          <w:kern w:val="2"/>
          <w:sz w:val="21"/>
          <w:szCs w:val="21"/>
          <w:vertAlign w:val="superscript"/>
          <w:lang w:bidi="ar"/>
        </w:rPr>
        <w:t>1</w:t>
      </w:r>
      <w:r>
        <w:rPr>
          <w:rFonts w:hint="eastAsia" w:ascii="Times New Roman" w:hAnsi="Times New Roman" w:cs="Times New Roman"/>
          <w:kern w:val="2"/>
          <w:sz w:val="21"/>
          <w:szCs w:val="21"/>
          <w:lang w:bidi="ar"/>
        </w:rPr>
        <w:t>，属于</w:t>
      </w:r>
      <w:r>
        <w:rPr>
          <w:rFonts w:hint="eastAsia" w:ascii="Times New Roman" w:hAnsi="Times New Roman" w:cs="Times New Roman"/>
          <w:kern w:val="2"/>
          <w:sz w:val="21"/>
          <w:szCs w:val="21"/>
          <w:u w:val="single"/>
          <w:lang w:bidi="ar"/>
        </w:rPr>
        <w:t>（</w:t>
      </w:r>
      <w:r>
        <w:rPr>
          <w:rFonts w:hint="eastAsia" w:ascii="Times New Roman" w:hAnsi="Times New Roman" w:cs="Times New Roman"/>
          <w:kern w:val="2"/>
          <w:sz w:val="21"/>
          <w:szCs w:val="21"/>
          <w:u w:val="single"/>
          <w:lang w:bidi="ar"/>
        </w:rPr>
        <w:sym w:font="Wingdings" w:char="00A8"/>
      </w:r>
      <w:r>
        <w:rPr>
          <w:rFonts w:hint="eastAsia" w:ascii="Times New Roman" w:hAnsi="Times New Roman" w:cs="Times New Roman"/>
          <w:kern w:val="2"/>
          <w:sz w:val="21"/>
          <w:szCs w:val="21"/>
          <w:u w:val="single"/>
          <w:lang w:bidi="ar"/>
        </w:rPr>
        <w:t>中型企业、</w:t>
      </w:r>
      <w:r>
        <w:rPr>
          <w:rFonts w:hint="eastAsia" w:ascii="Times New Roman" w:hAnsi="Times New Roman" w:cs="Times New Roman"/>
          <w:kern w:val="2"/>
          <w:sz w:val="21"/>
          <w:szCs w:val="21"/>
          <w:u w:val="single"/>
          <w:lang w:bidi="ar"/>
        </w:rPr>
        <w:sym w:font="Wingdings" w:char="00A8"/>
      </w:r>
      <w:r>
        <w:rPr>
          <w:rFonts w:hint="eastAsia" w:ascii="Times New Roman" w:hAnsi="Times New Roman" w:cs="Times New Roman"/>
          <w:kern w:val="2"/>
          <w:sz w:val="21"/>
          <w:szCs w:val="21"/>
          <w:u w:val="single"/>
          <w:lang w:bidi="ar"/>
        </w:rPr>
        <w:t>小型企业、</w:t>
      </w:r>
      <w:r>
        <w:rPr>
          <w:rFonts w:hint="eastAsia" w:ascii="Times New Roman" w:hAnsi="Times New Roman" w:cs="Times New Roman"/>
          <w:kern w:val="2"/>
          <w:sz w:val="21"/>
          <w:szCs w:val="21"/>
          <w:u w:val="single"/>
          <w:lang w:bidi="ar"/>
        </w:rPr>
        <w:sym w:font="Wingdings" w:char="00A8"/>
      </w:r>
      <w:r>
        <w:rPr>
          <w:rFonts w:hint="eastAsia" w:ascii="Times New Roman" w:hAnsi="Times New Roman" w:cs="Times New Roman"/>
          <w:kern w:val="2"/>
          <w:sz w:val="21"/>
          <w:szCs w:val="21"/>
          <w:u w:val="single"/>
          <w:lang w:bidi="ar"/>
        </w:rPr>
        <w:t>微型企业）</w:t>
      </w:r>
      <w:r>
        <w:rPr>
          <w:rFonts w:hint="eastAsia" w:ascii="Times New Roman" w:hAnsi="Times New Roman" w:cs="Times New Roman"/>
          <w:kern w:val="2"/>
          <w:sz w:val="21"/>
          <w:szCs w:val="21"/>
          <w:lang w:bidi="ar"/>
        </w:rPr>
        <w:t>；</w:t>
      </w:r>
      <w:r>
        <w:rPr>
          <w:rFonts w:ascii="Times New Roman" w:hAnsi="Times New Roman" w:cs="Times New Roman"/>
          <w:kern w:val="2"/>
          <w:sz w:val="21"/>
          <w:szCs w:val="21"/>
          <w:lang w:bidi="ar"/>
        </w:rPr>
        <w:t xml:space="preserve"> </w:t>
      </w:r>
    </w:p>
    <w:p>
      <w:pPr>
        <w:pStyle w:val="15"/>
        <w:widowControl w:val="0"/>
        <w:snapToGrid w:val="0"/>
        <w:spacing w:before="0" w:beforeAutospacing="0" w:after="0" w:afterAutospacing="0" w:line="360" w:lineRule="auto"/>
        <w:ind w:firstLine="420" w:firstLineChars="200"/>
        <w:jc w:val="both"/>
        <w:rPr>
          <w:rFonts w:ascii="Times New Roman" w:hAnsi="Times New Roman" w:cs="Times New Roman"/>
          <w:kern w:val="2"/>
          <w:sz w:val="21"/>
          <w:szCs w:val="21"/>
          <w:lang w:bidi="ar"/>
        </w:rPr>
      </w:pPr>
      <w:r>
        <w:rPr>
          <w:rFonts w:hint="eastAsia" w:ascii="Times New Roman" w:hAnsi="Times New Roman" w:cs="Times New Roman"/>
          <w:kern w:val="2"/>
          <w:sz w:val="21"/>
          <w:szCs w:val="21"/>
          <w:lang w:bidi="ar"/>
        </w:rPr>
        <w:t>.....</w:t>
      </w:r>
    </w:p>
    <w:p>
      <w:pPr>
        <w:pStyle w:val="15"/>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hint="eastAsia" w:ascii="Times New Roman" w:hAnsi="Times New Roman" w:cs="Times New Roman"/>
          <w:kern w:val="2"/>
          <w:sz w:val="21"/>
          <w:szCs w:val="21"/>
          <w:lang w:bidi="ar"/>
        </w:rPr>
        <w:t>以上企业，不属于大企业的分支机构，不存在控股股东为大企业的情形，也不存在与大企业的负责人为同一人的情形。</w:t>
      </w:r>
    </w:p>
    <w:p>
      <w:pPr>
        <w:pStyle w:val="15"/>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hint="eastAsia" w:ascii="Times New Roman" w:hAnsi="Times New Roman" w:cs="Times New Roman"/>
          <w:kern w:val="2"/>
          <w:sz w:val="21"/>
          <w:szCs w:val="21"/>
          <w:lang w:bidi="ar"/>
        </w:rPr>
        <w:t>本企业对上述声明内容的真实性负责。如有虚假，将依法承担相应责任。</w:t>
      </w:r>
      <w:r>
        <w:rPr>
          <w:rFonts w:ascii="Times New Roman" w:hAnsi="Times New Roman" w:cs="Times New Roman"/>
          <w:kern w:val="2"/>
          <w:sz w:val="21"/>
          <w:szCs w:val="21"/>
          <w:lang w:bidi="ar"/>
        </w:rPr>
        <w:t xml:space="preserve"> </w:t>
      </w:r>
    </w:p>
    <w:p>
      <w:pPr>
        <w:pStyle w:val="15"/>
        <w:widowControl w:val="0"/>
        <w:snapToGrid w:val="0"/>
        <w:spacing w:before="0" w:beforeAutospacing="0" w:after="0" w:afterAutospacing="0" w:line="360" w:lineRule="auto"/>
        <w:ind w:firstLine="480" w:firstLineChars="200"/>
        <w:jc w:val="both"/>
        <w:rPr>
          <w:rFonts w:ascii="Times New Roman" w:hAnsi="Times New Roman" w:cs="Times New Roman"/>
        </w:rPr>
      </w:pP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hint="eastAsia" w:ascii="Times New Roman" w:hAnsi="Times New Roman" w:cs="宋体"/>
          <w:szCs w:val="21"/>
          <w:lang w:bidi="ar"/>
        </w:rPr>
        <w:t>投标人</w:t>
      </w:r>
      <w:r>
        <w:rPr>
          <w:rFonts w:hint="eastAsia" w:ascii="Times New Roman" w:hAnsi="Times New Roman" w:cs="宋体"/>
          <w:kern w:val="0"/>
          <w:szCs w:val="21"/>
          <w:lang w:bidi="ar"/>
        </w:rPr>
        <w:t>（全称并加盖公章</w:t>
      </w:r>
      <w:r>
        <w:rPr>
          <w:rFonts w:hint="eastAsia" w:ascii="Times New Roman" w:hAnsi="Times New Roman" w:cs="宋体"/>
          <w:szCs w:val="21"/>
          <w:lang w:bidi="ar"/>
        </w:rPr>
        <w:t>）：</w:t>
      </w:r>
      <w:r>
        <w:rPr>
          <w:rFonts w:ascii="Times New Roman" w:hAnsi="Times New Roman"/>
          <w:szCs w:val="21"/>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hint="eastAsia" w:ascii="Times New Roman" w:hAnsi="Times New Roman" w:cs="宋体"/>
          <w:szCs w:val="21"/>
          <w:lang w:bidi="ar"/>
        </w:rPr>
        <w:t>日期：</w:t>
      </w:r>
      <w:r>
        <w:rPr>
          <w:rFonts w:ascii="Times New Roman" w:hAnsi="Times New Roman"/>
          <w:szCs w:val="21"/>
          <w:u w:val="single"/>
          <w:lang w:bidi="ar"/>
        </w:rPr>
        <w:t xml:space="preserve">                                 </w:t>
      </w:r>
    </w:p>
    <w:p>
      <w:pPr>
        <w:widowControl/>
        <w:jc w:val="left"/>
        <w:rPr>
          <w:rFonts w:ascii="宋体" w:hAnsi="宋体" w:cs="宋体"/>
          <w:kern w:val="0"/>
          <w:sz w:val="18"/>
          <w:szCs w:val="18"/>
          <w:lang w:bidi="ar"/>
        </w:rPr>
      </w:pPr>
      <w:r>
        <w:rPr>
          <w:rFonts w:hint="eastAsia" w:ascii="宋体" w:hAnsi="宋体" w:cs="宋体"/>
          <w:kern w:val="0"/>
          <w:sz w:val="18"/>
          <w:szCs w:val="18"/>
          <w:lang w:bidi="ar"/>
        </w:rPr>
        <w:t>1从业人员、营业收入、资产总额填报上一年度数据，无上一年度数据的新成立企业可不填报。</w:t>
      </w:r>
    </w:p>
    <w:p>
      <w:pPr>
        <w:widowControl/>
        <w:jc w:val="left"/>
        <w:rPr>
          <w:rFonts w:ascii="宋体" w:hAnsi="宋体" w:cs="宋体"/>
          <w:kern w:val="0"/>
          <w:sz w:val="18"/>
          <w:szCs w:val="18"/>
          <w:lang w:bidi="ar"/>
        </w:rPr>
      </w:pPr>
      <w:r>
        <w:rPr>
          <w:rFonts w:hint="eastAsia" w:ascii="宋体" w:hAnsi="宋体" w:cs="宋体"/>
          <w:kern w:val="0"/>
          <w:sz w:val="18"/>
          <w:szCs w:val="18"/>
          <w:lang w:bidi="ar"/>
        </w:rPr>
        <w:t>2.如投标人拟将本项目非主体、非关键性工作进行分包的，需在本表中同时填写分包供应商的相关信息。</w:t>
      </w:r>
    </w:p>
    <w:p>
      <w:pPr>
        <w:widowControl/>
        <w:rPr>
          <w:rFonts w:ascii="宋体" w:hAnsi="宋体" w:cs="宋体"/>
          <w:b/>
          <w:bCs/>
          <w:color w:val="000000" w:themeColor="text1"/>
          <w:sz w:val="28"/>
          <w:szCs w:val="28"/>
          <w14:textFill>
            <w14:solidFill>
              <w14:schemeClr w14:val="tx1"/>
            </w14:solidFill>
          </w14:textFill>
        </w:rPr>
      </w:pPr>
      <w:r>
        <w:rPr>
          <w:rFonts w:hint="eastAsia" w:ascii="宋体" w:hAnsi="宋体" w:cs="宋体"/>
          <w:kern w:val="0"/>
          <w:sz w:val="18"/>
          <w:szCs w:val="18"/>
          <w:lang w:bidi="ar"/>
        </w:rPr>
        <w:t>3.投标人与分包供应商之间不得存在直接控股、管理关系。</w:t>
      </w:r>
    </w:p>
    <w:p>
      <w:pPr>
        <w:pStyle w:val="10"/>
        <w:ind w:firstLine="1680" w:firstLineChars="700"/>
        <w:rPr>
          <w:rFonts w:hAnsi="宋体" w:cs="宋体"/>
          <w:b/>
          <w:bCs/>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br w:type="page"/>
      </w:r>
      <w:r>
        <w:rPr>
          <w:rFonts w:hint="eastAsia" w:hAnsi="宋体" w:cs="宋体"/>
          <w:b/>
          <w:bCs/>
          <w:color w:val="000000" w:themeColor="text1"/>
          <w:sz w:val="28"/>
          <w:szCs w:val="28"/>
          <w14:textFill>
            <w14:solidFill>
              <w14:schemeClr w14:val="tx1"/>
            </w14:solidFill>
          </w14:textFill>
        </w:rPr>
        <w:t>格式4   监狱企业的证明材料文件</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说明：</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监狱企业参加本项目采购活动时，应当提供由省级以上监狱管理局、戒毒管理局（含新疆生产建设兵团）出具的属于监狱企业的证明文件。（供应商如能够在线查询的材料，请提供查询网址链接，可以不用同时提供纸质材料，原件备查）</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2.未按上述要求提供、填写的，评审时不予以考虑。</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(示例略)</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p>
    <w:p>
      <w:pPr>
        <w:pStyle w:val="10"/>
        <w:topLinePunct/>
        <w:autoSpaceDE w:val="0"/>
        <w:autoSpaceDN w:val="0"/>
        <w:spacing w:line="460" w:lineRule="exact"/>
        <w:jc w:val="center"/>
        <w:rPr>
          <w:rFonts w:hAnsi="宋体" w:cs="宋体"/>
          <w:b/>
          <w:bCs/>
          <w:color w:val="000000" w:themeColor="text1"/>
          <w:sz w:val="28"/>
          <w:szCs w:val="28"/>
          <w14:textFill>
            <w14:solidFill>
              <w14:schemeClr w14:val="tx1"/>
            </w14:solidFill>
          </w14:textFill>
        </w:rPr>
      </w:pPr>
    </w:p>
    <w:p>
      <w:pPr>
        <w:pStyle w:val="10"/>
        <w:topLinePunct/>
        <w:autoSpaceDE w:val="0"/>
        <w:autoSpaceDN w:val="0"/>
        <w:spacing w:line="460" w:lineRule="exact"/>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格式5  残疾人福利性单位声明函</w:t>
      </w:r>
    </w:p>
    <w:p>
      <w:pPr>
        <w:spacing w:line="588" w:lineRule="exact"/>
        <w:rPr>
          <w:rFonts w:ascii="宋体" w:hAnsi="宋体" w:cs="宋体"/>
          <w:b/>
          <w:color w:val="000000" w:themeColor="text1"/>
          <w:spacing w:val="6"/>
          <w:sz w:val="30"/>
          <w:szCs w:val="30"/>
          <w14:textFill>
            <w14:solidFill>
              <w14:schemeClr w14:val="tx1"/>
            </w14:solidFill>
          </w14:textFill>
        </w:rPr>
      </w:pP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本单位对上述声明的真实性负责。如有虚假，将依法承担相应责任。</w:t>
      </w:r>
    </w:p>
    <w:p>
      <w:pPr>
        <w:spacing w:line="588" w:lineRule="exact"/>
        <w:ind w:firstLine="444" w:firstLineChars="200"/>
        <w:rPr>
          <w:rFonts w:ascii="宋体" w:hAnsi="宋体" w:cs="宋体"/>
          <w:color w:val="000000" w:themeColor="text1"/>
          <w:spacing w:val="6"/>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topLinePunct/>
        <w:autoSpaceDE w:val="0"/>
        <w:autoSpaceDN w:val="0"/>
        <w:spacing w:line="460" w:lineRule="exact"/>
        <w:jc w:val="center"/>
        <w:rPr>
          <w:rFonts w:ascii="宋体" w:hAnsi="宋体" w:cs="宋体"/>
          <w:color w:val="000000" w:themeColor="text1"/>
          <w:spacing w:val="6"/>
          <w:szCs w:val="21"/>
          <w14:textFill>
            <w14:solidFill>
              <w14:schemeClr w14:val="tx1"/>
            </w14:solidFill>
          </w14:textFill>
        </w:rPr>
      </w:pPr>
    </w:p>
    <w:p>
      <w:pPr>
        <w:rPr>
          <w:rFonts w:ascii="宋体" w:hAnsi="宋体" w:cs="宋体"/>
          <w:b/>
          <w:bCs/>
          <w:color w:val="000000" w:themeColor="text1"/>
          <w:sz w:val="28"/>
          <w:szCs w:val="28"/>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格式6  授权委托书</w:t>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6-1法定代表人授权委托书</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（适用于授权代表参加磋商）</w:t>
      </w:r>
    </w:p>
    <w:p>
      <w:pPr>
        <w:pStyle w:val="10"/>
        <w:rPr>
          <w:rFonts w:hAnsi="宋体" w:cs="宋体"/>
          <w:color w:val="000000" w:themeColor="text1"/>
          <w14:textFill>
            <w14:solidFill>
              <w14:schemeClr w14:val="tx1"/>
            </w14:solidFill>
          </w14:textFill>
        </w:rPr>
      </w:pP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致____________（采购人或采购代理机构）：</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cs="宋体"/>
          <w:color w:val="000000" w:themeColor="text1"/>
          <w:szCs w:val="21"/>
          <w:u w:val="single"/>
          <w14:textFill>
            <w14:solidFill>
              <w14:schemeClr w14:val="tx1"/>
            </w14:solidFill>
          </w14:textFill>
        </w:rPr>
        <w:t xml:space="preserve">          项目</w:t>
      </w:r>
      <w:r>
        <w:rPr>
          <w:rFonts w:hint="eastAsia" w:ascii="宋体" w:hAnsi="宋体" w:cs="宋体"/>
          <w:color w:val="000000" w:themeColor="text1"/>
          <w:szCs w:val="21"/>
          <w14:textFill>
            <w14:solidFill>
              <w14:schemeClr w14:val="tx1"/>
            </w14:solidFill>
          </w14:textFill>
        </w:rPr>
        <w:t>》（项目编号：_______）</w:t>
      </w:r>
      <w:r>
        <w:rPr>
          <w:rFonts w:hint="eastAsia" w:ascii="宋体" w:hAnsi="宋体" w:cs="宋体"/>
          <w:color w:val="000000" w:themeColor="text1"/>
          <w:kern w:val="0"/>
          <w:szCs w:val="21"/>
          <w14:textFill>
            <w14:solidFill>
              <w14:schemeClr w14:val="tx1"/>
            </w14:solidFill>
          </w14:textFill>
        </w:rPr>
        <w:t>磋商、澄清、</w:t>
      </w:r>
      <w:r>
        <w:rPr>
          <w:rFonts w:hint="eastAsia" w:ascii="宋体" w:hAnsi="宋体" w:cs="宋体"/>
          <w:color w:val="000000" w:themeColor="text1"/>
          <w:szCs w:val="21"/>
          <w14:textFill>
            <w14:solidFill>
              <w14:schemeClr w14:val="tx1"/>
            </w14:solidFill>
          </w14:textFill>
        </w:rPr>
        <w:t>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本授权书于______年______月_____日生效，特此声明。</w:t>
      </w:r>
    </w:p>
    <w:p>
      <w:pPr>
        <w:pStyle w:val="10"/>
        <w:adjustRightInd w:val="0"/>
        <w:snapToGrid w:val="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授权代表无转委托权。</w:t>
      </w:r>
    </w:p>
    <w:p>
      <w:pPr>
        <w:pStyle w:val="10"/>
        <w:adjustRightInd w:val="0"/>
        <w:snapToGrid w:val="0"/>
        <w:spacing w:line="360" w:lineRule="auto"/>
        <w:rPr>
          <w:rFonts w:hAnsi="宋体" w:cs="宋体"/>
          <w:color w:val="000000" w:themeColor="text1"/>
          <w14:textFill>
            <w14:solidFill>
              <w14:schemeClr w14:val="tx1"/>
            </w14:solidFill>
          </w14:textFill>
        </w:rPr>
      </w:pPr>
    </w:p>
    <w:tbl>
      <w:tblPr>
        <w:tblStyle w:val="19"/>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授权代表</w:t>
            </w:r>
            <w:r>
              <w:rPr>
                <w:rFonts w:hint="eastAsia" w:hAnsi="宋体" w:cs="宋体"/>
                <w:color w:val="000000" w:themeColor="text1"/>
                <w14:textFill>
                  <w14:solidFill>
                    <w14:schemeClr w14:val="tx1"/>
                  </w14:solidFill>
                </w14:textFill>
              </w:rPr>
              <w:t>身份证复印件</w:t>
            </w: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tc>
      </w:tr>
    </w:tbl>
    <w:p>
      <w:pPr>
        <w:pStyle w:val="10"/>
        <w:adjustRightInd w:val="0"/>
        <w:snapToGrid w:val="0"/>
        <w:spacing w:line="360" w:lineRule="auto"/>
        <w:jc w:val="left"/>
        <w:rPr>
          <w:rFonts w:hAnsi="宋体" w:cs="宋体"/>
          <w:color w:val="000000" w:themeColor="text1"/>
          <w14:textFill>
            <w14:solidFill>
              <w14:schemeClr w14:val="tx1"/>
            </w14:solidFill>
          </w14:textFill>
        </w:rPr>
      </w:pP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供应商名称（公章）：________________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法定代表人（签字或签章）：________________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授权代表（签字）：________________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授权代表联系电话：____________</w:t>
      </w:r>
    </w:p>
    <w:p>
      <w:pPr>
        <w:tabs>
          <w:tab w:val="left" w:pos="1230"/>
        </w:tabs>
        <w:topLinePunct/>
        <w:autoSpaceDE w:val="0"/>
        <w:autoSpaceDN w:val="0"/>
        <w:adjustRightInd w:val="0"/>
        <w:snapToGrid w:val="0"/>
        <w:spacing w:line="360" w:lineRule="auto"/>
        <w:ind w:left="3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w:t>
      </w:r>
    </w:p>
    <w:p>
      <w:pPr>
        <w:topLinePunct/>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w:t>
      </w:r>
    </w:p>
    <w:p>
      <w:pPr>
        <w:adjustRightInd w:val="0"/>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6-2法定代表人身份证明复印件</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（适用于法定代表人参加磋商）</w:t>
      </w:r>
    </w:p>
    <w:p>
      <w:pPr>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p>
    <w:tbl>
      <w:tblPr>
        <w:tblStyle w:val="19"/>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法定代表人身份证明复印件</w:t>
            </w: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p>
            <w:pPr>
              <w:pStyle w:val="10"/>
              <w:adjustRightInd w:val="0"/>
              <w:snapToGrid w:val="0"/>
              <w:spacing w:line="360" w:lineRule="auto"/>
              <w:jc w:val="center"/>
              <w:rPr>
                <w:rFonts w:hAnsi="宋体" w:cs="宋体"/>
                <w:color w:val="000000" w:themeColor="text1"/>
                <w14:textFill>
                  <w14:solidFill>
                    <w14:schemeClr w14:val="tx1"/>
                  </w14:solidFill>
                </w14:textFill>
              </w:rPr>
            </w:pPr>
          </w:p>
        </w:tc>
      </w:tr>
    </w:tbl>
    <w:p>
      <w:pPr>
        <w:topLinePunct/>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供应商如由</w:t>
      </w:r>
      <w:r>
        <w:rPr>
          <w:rFonts w:hint="eastAsia" w:ascii="宋体" w:hAnsi="宋体" w:cs="宋体"/>
          <w:b/>
          <w:bCs/>
          <w:color w:val="000000" w:themeColor="text1"/>
          <w14:textFill>
            <w14:solidFill>
              <w14:schemeClr w14:val="tx1"/>
            </w14:solidFill>
          </w14:textFill>
        </w:rPr>
        <w:t>法定代表人作为磋商代表参与磋商活动的，仅需提供法定代表人身份证复印件</w:t>
      </w:r>
      <w:r>
        <w:rPr>
          <w:rFonts w:hint="eastAsia" w:ascii="宋体" w:hAnsi="宋体" w:cs="宋体"/>
          <w:color w:val="000000" w:themeColor="text1"/>
          <w14:textFill>
            <w14:solidFill>
              <w14:schemeClr w14:val="tx1"/>
            </w14:solidFill>
          </w14:textFill>
        </w:rPr>
        <w:t>。</w:t>
      </w:r>
    </w:p>
    <w:p>
      <w:pPr>
        <w:pStyle w:val="10"/>
        <w:ind w:firstLine="420" w:firstLineChars="200"/>
        <w:rPr>
          <w:rFonts w:hAnsi="宋体" w:cs="宋体"/>
          <w:color w:val="000000" w:themeColor="text1"/>
          <w14:textFill>
            <w14:solidFill>
              <w14:schemeClr w14:val="tx1"/>
            </w14:solidFill>
          </w14:textFill>
        </w:rPr>
      </w:pP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6-3自然人授权委托书</w:t>
      </w: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（适用于自然人参加磋商）</w:t>
      </w:r>
    </w:p>
    <w:p>
      <w:pPr>
        <w:pStyle w:val="10"/>
        <w:rPr>
          <w:rFonts w:hAnsi="宋体" w:cs="宋体"/>
          <w:color w:val="000000" w:themeColor="text1"/>
          <w14:textFill>
            <w14:solidFill>
              <w14:schemeClr w14:val="tx1"/>
            </w14:solidFill>
          </w14:textFill>
        </w:rPr>
      </w:pP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致____________（采购人或采购代理机构）：</w:t>
      </w:r>
    </w:p>
    <w:p>
      <w:pPr>
        <w:pStyle w:val="1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本授权书声明：我________（姓名、身份证号码）系自然人，现授权委托____________（姓名、身份证号码）以本人名义参加《</w:t>
      </w:r>
      <w:r>
        <w:rPr>
          <w:rFonts w:hint="eastAsia" w:hAnsi="宋体" w:cs="宋体"/>
          <w:color w:val="000000" w:themeColor="text1"/>
          <w:u w:val="single"/>
          <w14:textFill>
            <w14:solidFill>
              <w14:schemeClr w14:val="tx1"/>
            </w14:solidFill>
          </w14:textFill>
        </w:rPr>
        <w:t xml:space="preserve">          项目</w:t>
      </w:r>
      <w:r>
        <w:rPr>
          <w:rFonts w:hint="eastAsia" w:hAnsi="宋体" w:cs="宋体"/>
          <w:color w:val="000000" w:themeColor="text1"/>
          <w14:textFill>
            <w14:solidFill>
              <w14:schemeClr w14:val="tx1"/>
            </w14:solidFill>
          </w14:textFill>
        </w:rPr>
        <w:t>》（项目编号：    ）的磋商活动，并代表本人全权办理针对上述项目的磋商、签约等具体事务和签署相关文件。</w:t>
      </w:r>
    </w:p>
    <w:p>
      <w:pPr>
        <w:pStyle w:val="1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本人对被授权人的签字事项负全部责任。</w:t>
      </w:r>
    </w:p>
    <w:p>
      <w:pPr>
        <w:pStyle w:val="1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授权委托代理期限：从　　年　　月　　日起至　　年　　月　　日止。</w:t>
      </w:r>
    </w:p>
    <w:p>
      <w:pPr>
        <w:pStyle w:val="10"/>
        <w:spacing w:line="360" w:lineRule="auto"/>
        <w:ind w:firstLine="420" w:firstLineChars="200"/>
        <w:rPr>
          <w:rFonts w:hAnsi="宋体" w:cs="宋体"/>
          <w:color w:val="000000" w:themeColor="text1"/>
          <w14:textFill>
            <w14:solidFill>
              <w14:schemeClr w14:val="tx1"/>
            </w14:solidFill>
          </w14:textFill>
        </w:rPr>
      </w:pPr>
    </w:p>
    <w:p>
      <w:pPr>
        <w:pStyle w:val="1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代理人无转委托权，特此委托。</w:t>
      </w:r>
    </w:p>
    <w:p>
      <w:pPr>
        <w:pStyle w:val="10"/>
        <w:spacing w:line="360" w:lineRule="auto"/>
        <w:ind w:firstLine="420" w:firstLineChars="200"/>
        <w:rPr>
          <w:rFonts w:hAnsi="宋体" w:cs="宋体"/>
          <w:color w:val="000000" w:themeColor="text1"/>
          <w14:textFill>
            <w14:solidFill>
              <w14:schemeClr w14:val="tx1"/>
            </w14:solidFill>
          </w14:textFill>
        </w:rPr>
      </w:pPr>
    </w:p>
    <w:p>
      <w:pPr>
        <w:pStyle w:val="1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我已在下面签字，以资证明。</w:t>
      </w:r>
    </w:p>
    <w:p>
      <w:pPr>
        <w:pStyle w:val="10"/>
        <w:spacing w:line="360" w:lineRule="auto"/>
        <w:ind w:firstLine="420" w:firstLineChars="200"/>
        <w:rPr>
          <w:rFonts w:hAnsi="宋体" w:cs="宋体"/>
          <w:color w:val="000000" w:themeColor="text1"/>
          <w14:textFill>
            <w14:solidFill>
              <w14:schemeClr w14:val="tx1"/>
            </w14:solidFill>
          </w14:textFill>
        </w:rPr>
      </w:pPr>
    </w:p>
    <w:p>
      <w:pPr>
        <w:pStyle w:val="10"/>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自然人签字并在签名处加盖食指指印：　　　　年　　月　　日</w:t>
      </w:r>
    </w:p>
    <w:p>
      <w:pPr>
        <w:pStyle w:val="10"/>
        <w:spacing w:line="360" w:lineRule="auto"/>
        <w:ind w:firstLine="420" w:firstLineChars="200"/>
        <w:rPr>
          <w:rFonts w:hAnsi="宋体" w:cs="宋体"/>
          <w:color w:val="000000" w:themeColor="text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color w:val="000000" w:themeColor="text1"/>
          <w:szCs w:val="21"/>
          <w14:textFill>
            <w14:solidFill>
              <w14:schemeClr w14:val="tx1"/>
            </w14:solidFill>
          </w14:textFill>
        </w:rPr>
      </w:pPr>
    </w:p>
    <w:p>
      <w:pPr>
        <w:topLinePunct/>
        <w:autoSpaceDE w:val="0"/>
        <w:autoSpaceDN w:val="0"/>
        <w:adjustRightInd w:val="0"/>
        <w:snapToGrid w:val="0"/>
        <w:spacing w:line="360" w:lineRule="auto"/>
        <w:jc w:val="left"/>
        <w:rPr>
          <w:rFonts w:ascii="宋体" w:hAnsi="宋体" w:cs="宋体"/>
          <w:i/>
          <w:i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供应商如由</w:t>
      </w:r>
      <w:r>
        <w:rPr>
          <w:rFonts w:hint="eastAsia" w:ascii="宋体" w:hAnsi="宋体" w:cs="宋体"/>
          <w:b/>
          <w:bCs/>
          <w:color w:val="000000" w:themeColor="text1"/>
          <w14:textFill>
            <w14:solidFill>
              <w14:schemeClr w14:val="tx1"/>
            </w14:solidFill>
          </w14:textFill>
        </w:rPr>
        <w:t>被授权人参与磋商活动的，</w:t>
      </w:r>
      <w:r>
        <w:rPr>
          <w:rFonts w:hint="eastAsia" w:ascii="宋体" w:hAnsi="宋体" w:cs="宋体"/>
          <w:color w:val="000000" w:themeColor="text1"/>
          <w14:textFill>
            <w14:solidFill>
              <w14:schemeClr w14:val="tx1"/>
            </w14:solidFill>
          </w14:textFill>
        </w:rPr>
        <w:t>须提供《自然人授权委托书》，《自然人授权委托书》应当按本格式要求签字并由自然人在签名处加盖食指指印</w:t>
      </w:r>
      <w:r>
        <w:rPr>
          <w:rFonts w:hint="eastAsia" w:ascii="宋体" w:hAnsi="宋体" w:cs="宋体"/>
          <w:color w:val="000000" w:themeColor="text1"/>
          <w:szCs w:val="21"/>
          <w14:textFill>
            <w14:solidFill>
              <w14:schemeClr w14:val="tx1"/>
            </w14:solidFill>
          </w14:textFill>
        </w:rPr>
        <w:t>。</w:t>
      </w:r>
    </w:p>
    <w:p>
      <w:pPr>
        <w:pStyle w:val="10"/>
        <w:spacing w:line="360" w:lineRule="auto"/>
        <w:ind w:firstLine="480" w:firstLineChars="200"/>
        <w:rPr>
          <w:rFonts w:hAnsi="宋体" w:cs="宋体"/>
          <w:color w:val="000000" w:themeColor="text1"/>
          <w:sz w:val="24"/>
          <w:szCs w:val="24"/>
          <w14:textFill>
            <w14:solidFill>
              <w14:schemeClr w14:val="tx1"/>
            </w14:solidFill>
          </w14:textFill>
        </w:rPr>
      </w:pPr>
    </w:p>
    <w:p>
      <w:pPr>
        <w:pStyle w:val="10"/>
        <w:ind w:firstLine="420" w:firstLineChars="200"/>
        <w:jc w:val="center"/>
        <w:rPr>
          <w:rFonts w:hAnsi="宋体" w:cs="宋体"/>
          <w:b/>
          <w:bCs/>
          <w:color w:val="000000" w:themeColor="text1"/>
          <w:sz w:val="36"/>
          <w:szCs w:val="36"/>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hAnsi="宋体" w:cs="宋体"/>
          <w:b/>
          <w:bCs/>
          <w:color w:val="000000" w:themeColor="text1"/>
          <w:sz w:val="28"/>
          <w:szCs w:val="28"/>
          <w14:textFill>
            <w14:solidFill>
              <w14:schemeClr w14:val="tx1"/>
            </w14:solidFill>
          </w14:textFill>
        </w:rPr>
        <w:t>格式7  磋商响应函</w:t>
      </w:r>
    </w:p>
    <w:p>
      <w:pPr>
        <w:pStyle w:val="10"/>
        <w:topLinePunct/>
        <w:autoSpaceDE w:val="0"/>
        <w:autoSpaceDN w:val="0"/>
        <w:adjustRightInd w:val="0"/>
        <w:snapToGrid w:val="0"/>
        <w:spacing w:line="360" w:lineRule="auto"/>
        <w:rPr>
          <w:rFonts w:hAnsi="宋体" w:cs="宋体"/>
          <w:color w:val="000000" w:themeColor="text1"/>
          <w:sz w:val="24"/>
          <w14:textFill>
            <w14:solidFill>
              <w14:schemeClr w14:val="tx1"/>
            </w14:solidFill>
          </w14:textFill>
        </w:rPr>
      </w:pPr>
    </w:p>
    <w:p>
      <w:pPr>
        <w:pStyle w:val="10"/>
        <w:topLinePunct/>
        <w:autoSpaceDE w:val="0"/>
        <w:autoSpaceDN w:val="0"/>
        <w:adjustRightInd w:val="0"/>
        <w:snapToGrid w:val="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致________（采购人或采购代理机构）：</w:t>
      </w:r>
    </w:p>
    <w:p>
      <w:pPr>
        <w:pStyle w:val="10"/>
        <w:topLinePunct/>
        <w:autoSpaceDE w:val="0"/>
        <w:autoSpaceDN w:val="0"/>
        <w:adjustRightInd w:val="0"/>
        <w:snapToGrid w:val="0"/>
        <w:spacing w:line="360" w:lineRule="auto"/>
        <w:ind w:firstLine="428" w:firstLineChars="2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根据______（项目名称）（项目编号：______）的磋商邀请，______（姓名、职务）代表供应商______（供应商名称、地址）参加项目磋商的有关活动。据此函，做如下承诺：</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1.同意在本项目磋商文件中规定的开标日起</w:t>
      </w:r>
      <w:r>
        <w:rPr>
          <w:rFonts w:hint="eastAsia" w:ascii="宋体" w:hAnsi="宋体" w:eastAsia="宋体" w:cs="宋体"/>
          <w:color w:val="000000" w:themeColor="text1"/>
          <w:sz w:val="21"/>
          <w:szCs w:val="21"/>
          <w:u w:val="single"/>
          <w14:textFill>
            <w14:solidFill>
              <w14:schemeClr w14:val="tx1"/>
            </w14:solidFill>
          </w14:textFill>
        </w:rPr>
        <w:t xml:space="preserve">    天</w:t>
      </w:r>
      <w:r>
        <w:rPr>
          <w:rFonts w:hint="eastAsia" w:ascii="宋体" w:hAnsi="宋体" w:eastAsia="宋体" w:cs="宋体"/>
          <w:color w:val="000000" w:themeColor="text1"/>
          <w:sz w:val="21"/>
          <w:szCs w:val="21"/>
          <w14:textFill>
            <w14:solidFill>
              <w14:schemeClr w14:val="tx1"/>
            </w14:solidFill>
          </w14:textFill>
        </w:rPr>
        <w:t>遵守本响应文件中的承诺，且在期满之前均具有约束力。</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2.具备以下条件：</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（5）参加此项采购活动前三年内，在经营活动中没有重大违法记录。</w:t>
      </w:r>
    </w:p>
    <w:p>
      <w:pPr>
        <w:tabs>
          <w:tab w:val="left" w:pos="700"/>
        </w:tabs>
        <w:topLinePunct/>
        <w:autoSpaceDE w:val="0"/>
        <w:autoSpaceDN w:val="0"/>
        <w:adjustRightInd w:val="0"/>
        <w:snapToGrid w:val="0"/>
        <w:spacing w:line="360" w:lineRule="auto"/>
        <w:ind w:firstLine="428" w:firstLineChars="20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（6）法律、行政法规规定的其他条件。 </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3.具备本项目磋商文件中规定的其他要求和资质条件。</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4.提供供应商须知规定的全部响应文件。</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5.已详细审阅全部磋商文件（包括磋商文件澄清函），理解供应商须知的所有条款。</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6.完全理解贵方“最低报价不能作为成交的保证”的规定。</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7.接受磋商文件中全部合同条款，且无任何异议；保证忠实地执行双方所签订的合同，并承担合同规定的责任和义务。</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8.完全满足和响应磋商文件中的各项商务和技术要求，若有偏差，已在响应文件中明确说明。</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9.愿意提供任何与磋商有关的数据、情况和技术资料等。若贵方需要，愿意提供一切证明材料。</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10.我方已详细审核全部响应文件、参考资料及有关附件，确认无误。</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11.对本次采购内容及与本项目有关的知识产权、技术资料、商业秘密及相关信息保密。</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采购活动的相关规定。</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13.已知悉并承诺遵守磋商文件中关于供应链安全管理的全部要求。</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供应商名称（公章）：____________</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法定代表人（签字或签章）/授权代表（签字）：____________</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供应商地址：____________</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邮编：____________</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电话：____________</w:t>
      </w:r>
    </w:p>
    <w:p>
      <w:pPr>
        <w:pStyle w:val="30"/>
        <w:tabs>
          <w:tab w:val="left" w:pos="420"/>
        </w:tabs>
        <w:topLinePunct/>
        <w:autoSpaceDE w:val="0"/>
        <w:autoSpaceDN w:val="0"/>
        <w:snapToGrid w:val="0"/>
        <w:spacing w:line="360" w:lineRule="auto"/>
        <w:ind w:firstLine="428" w:firstLineChars="204"/>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传真：____________</w:t>
      </w:r>
    </w:p>
    <w:p>
      <w:pPr>
        <w:pStyle w:val="30"/>
        <w:tabs>
          <w:tab w:val="left" w:pos="420"/>
        </w:tabs>
        <w:topLinePunct/>
        <w:autoSpaceDE w:val="0"/>
        <w:autoSpaceDN w:val="0"/>
        <w:snapToGrid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日  期：____________          </w:t>
      </w:r>
    </w:p>
    <w:p>
      <w:pPr>
        <w:tabs>
          <w:tab w:val="left" w:pos="1230"/>
        </w:tabs>
        <w:topLinePunct/>
        <w:autoSpaceDE w:val="0"/>
        <w:autoSpaceDN w:val="0"/>
        <w:snapToGrid w:val="0"/>
        <w:spacing w:line="400" w:lineRule="exact"/>
        <w:ind w:left="360"/>
        <w:rPr>
          <w:rFonts w:ascii="宋体" w:hAnsi="宋体" w:cs="宋体"/>
          <w:color w:val="000000" w:themeColor="text1"/>
          <w:szCs w:val="21"/>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特别说明：</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供应商应当按上述格式要求加盖与供应商名称全称一致的标准公章，并签署法定代表人或</w:t>
      </w:r>
      <w:r>
        <w:rPr>
          <w:rFonts w:hint="eastAsia" w:ascii="宋体" w:hAnsi="宋体" w:cs="宋体"/>
          <w:bCs/>
          <w:color w:val="000000" w:themeColor="text1"/>
          <w:szCs w:val="21"/>
          <w14:textFill>
            <w14:solidFill>
              <w14:schemeClr w14:val="tx1"/>
            </w14:solidFill>
          </w14:textFill>
        </w:rPr>
        <w:t>授权代表</w:t>
      </w:r>
      <w:r>
        <w:rPr>
          <w:rFonts w:hint="eastAsia" w:ascii="宋体" w:hAnsi="宋体" w:cs="宋体"/>
          <w:color w:val="000000" w:themeColor="text1"/>
          <w:szCs w:val="21"/>
          <w14:textFill>
            <w14:solidFill>
              <w14:schemeClr w14:val="tx1"/>
            </w14:solidFill>
          </w14:textFill>
        </w:rPr>
        <w:t>的全名。</w:t>
      </w:r>
    </w:p>
    <w:p>
      <w:pPr>
        <w:tabs>
          <w:tab w:val="left" w:pos="1230"/>
        </w:tabs>
        <w:topLinePunct/>
        <w:autoSpaceDE w:val="0"/>
        <w:autoSpaceDN w:val="0"/>
        <w:adjustRightInd w:val="0"/>
        <w:snapToGrid w:val="0"/>
        <w:spacing w:line="360" w:lineRule="auto"/>
        <w:ind w:firstLine="56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widowControl/>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格式8  商务条款偏离表</w:t>
      </w:r>
    </w:p>
    <w:tbl>
      <w:tblPr>
        <w:tblStyle w:val="19"/>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99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文件条目号</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w:t>
            </w:r>
          </w:p>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商务条款</w:t>
            </w:r>
          </w:p>
        </w:tc>
        <w:tc>
          <w:tcPr>
            <w:tcW w:w="15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响应文件</w:t>
            </w:r>
          </w:p>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商务条款</w:t>
            </w:r>
          </w:p>
        </w:tc>
        <w:tc>
          <w:tcPr>
            <w:tcW w:w="17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偏离</w:t>
            </w:r>
          </w:p>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（无/正/负）</w:t>
            </w:r>
          </w:p>
        </w:tc>
        <w:tc>
          <w:tcPr>
            <w:tcW w:w="125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9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c>
          <w:tcPr>
            <w:tcW w:w="1250" w:type="dxa"/>
            <w:tcBorders>
              <w:top w:val="single" w:color="auto" w:sz="4" w:space="0"/>
              <w:left w:val="single" w:color="auto" w:sz="4" w:space="0"/>
              <w:bottom w:val="single" w:color="auto" w:sz="4" w:space="0"/>
              <w:right w:val="single" w:color="auto" w:sz="4" w:space="0"/>
            </w:tcBorders>
          </w:tcPr>
          <w:p>
            <w:pPr>
              <w:topLinePunct/>
              <w:autoSpaceDE w:val="0"/>
              <w:autoSpaceDN w:val="0"/>
              <w:spacing w:before="62" w:beforeLines="20" w:after="4"/>
              <w:jc w:val="center"/>
              <w:rPr>
                <w:rFonts w:ascii="宋体" w:hAnsi="宋体" w:cs="宋体"/>
                <w:b/>
                <w:bCs/>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1.商务条款无需条对条应答，如无偏离，请在此表中填写“无偏离”；如有偏离，请在此表中应答为“正/负偏离”并说明偏离情况。</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2.供应商应按磋商文件《第六章　项目采购需求》中的“商务要求”，结合自身情况对商务条款进行响应。如《第六章　项目采购需求》中的“商务要求”中有标注★号的，则为实质性要求，必须满足，如应答为“负偏离”，将导致响应无效。</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3.本表可扩展。</w:t>
      </w:r>
    </w:p>
    <w:p>
      <w:pPr>
        <w:topLinePunct/>
        <w:autoSpaceDE w:val="0"/>
        <w:autoSpaceDN w:val="0"/>
        <w:spacing w:line="500" w:lineRule="exact"/>
        <w:rPr>
          <w:rFonts w:ascii="宋体" w:hAnsi="宋体" w:cs="宋体"/>
          <w:color w:val="000000" w:themeColor="text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rPr>
          <w:rFonts w:ascii="宋体" w:hAnsi="宋体" w:cs="宋体"/>
          <w:b/>
          <w:bCs/>
          <w:color w:val="000000" w:themeColor="text1"/>
          <w:szCs w:val="21"/>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p>
    <w:p>
      <w:pPr>
        <w:pStyle w:val="30"/>
        <w:tabs>
          <w:tab w:val="left" w:pos="420"/>
        </w:tabs>
        <w:snapToGrid w:val="0"/>
        <w:spacing w:line="460" w:lineRule="atLeast"/>
        <w:rPr>
          <w:rFonts w:ascii="宋体" w:hAnsi="宋体" w:eastAsia="宋体" w:cs="宋体"/>
          <w:b/>
          <w:bCs/>
          <w:color w:val="000000" w:themeColor="text1"/>
          <w:kern w:val="44"/>
          <w:sz w:val="28"/>
          <w:szCs w:val="28"/>
          <w14:textFill>
            <w14:solidFill>
              <w14:schemeClr w14:val="tx1"/>
            </w14:solidFill>
          </w14:textFill>
        </w:rPr>
      </w:pPr>
      <w:r>
        <w:rPr>
          <w:rFonts w:hint="eastAsia" w:ascii="宋体" w:hAnsi="宋体" w:eastAsia="宋体" w:cs="宋体"/>
          <w:b/>
          <w:bCs/>
          <w:color w:val="000000" w:themeColor="text1"/>
          <w:kern w:val="44"/>
          <w:sz w:val="28"/>
          <w:szCs w:val="28"/>
          <w14:textFill>
            <w14:solidFill>
              <w14:schemeClr w14:val="tx1"/>
            </w14:solidFill>
          </w14:textFill>
        </w:rPr>
        <w:t>格式9 成功案例一览表</w:t>
      </w:r>
    </w:p>
    <w:p>
      <w:pPr>
        <w:pStyle w:val="10"/>
        <w:topLinePunct/>
        <w:autoSpaceDE w:val="0"/>
        <w:autoSpaceDN w:val="0"/>
        <w:adjustRightInd w:val="0"/>
        <w:snapToGrid w:val="0"/>
        <w:spacing w:line="360" w:lineRule="auto"/>
        <w:ind w:left="2"/>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i/>
          <w:color w:val="000000" w:themeColor="text1"/>
          <w14:textFill>
            <w14:solidFill>
              <w14:schemeClr w14:val="tx1"/>
            </w14:solidFill>
          </w14:textFill>
        </w:rPr>
        <w:t>根据磋商文件要求调整</w:t>
      </w:r>
      <w:r>
        <w:rPr>
          <w:rFonts w:hint="eastAsia" w:hAnsi="宋体" w:cs="宋体"/>
          <w:color w:val="000000" w:themeColor="text1"/>
          <w14:textFill>
            <w14:solidFill>
              <w14:schemeClr w14:val="tx1"/>
            </w14:solidFill>
          </w14:textFill>
        </w:rPr>
        <w:t>）</w:t>
      </w:r>
    </w:p>
    <w:tbl>
      <w:tblPr>
        <w:tblStyle w:val="1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p>
        </w:tc>
        <w:tc>
          <w:tcPr>
            <w:tcW w:w="7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金额</w:t>
            </w: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合同主要</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用  户</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联系人</w:t>
            </w: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用户联</w:t>
            </w:r>
          </w:p>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系电话</w:t>
            </w: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c>
          <w:tcPr>
            <w:tcW w:w="173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jc w:val="center"/>
              <w:rPr>
                <w:rFonts w:ascii="宋体" w:hAnsi="宋体" w:cs="宋体"/>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1.提供2021年以来（以合同签订日期为准），供应商承接的</w:t>
      </w:r>
      <w:r>
        <w:rPr>
          <w:rFonts w:hint="eastAsia" w:ascii="宋体" w:hAnsi="宋体" w:cs="宋体"/>
          <w:b/>
          <w:bCs/>
          <w:color w:val="000000"/>
        </w:rPr>
        <w:t>行政事业单位或企业职工体检服务类项目</w:t>
      </w:r>
      <w:r>
        <w:rPr>
          <w:rFonts w:hint="eastAsia" w:ascii="宋体" w:hAnsi="宋体" w:cs="宋体"/>
          <w:color w:val="000000" w:themeColor="text1"/>
          <w:szCs w:val="21"/>
          <w14:textFill>
            <w14:solidFill>
              <w14:schemeClr w14:val="tx1"/>
            </w14:solidFill>
          </w14:textFill>
        </w:rPr>
        <w:t>业绩案例。</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2.应提供合同复印件。合同复印件应能清晰体现合同甲乙双方、合同时间、合同金额、合同主要内容等，并提供对方联系人及联系方式。</w:t>
      </w:r>
    </w:p>
    <w:p>
      <w:pPr>
        <w:pStyle w:val="10"/>
        <w:topLinePunct/>
        <w:autoSpaceDE w:val="0"/>
        <w:autoSpaceDN w:val="0"/>
        <w:spacing w:line="460" w:lineRule="exact"/>
        <w:jc w:val="center"/>
        <w:rPr>
          <w:rFonts w:hAnsi="宋体" w:cs="宋体"/>
          <w:b/>
          <w:bCs/>
          <w:color w:val="000000" w:themeColor="text1"/>
          <w:sz w:val="36"/>
          <w:szCs w:val="36"/>
          <w14:textFill>
            <w14:solidFill>
              <w14:schemeClr w14:val="tx1"/>
            </w14:solidFill>
          </w14:textFill>
        </w:rPr>
      </w:pPr>
      <w:bookmarkStart w:id="34" w:name="_Toc18814"/>
      <w:bookmarkStart w:id="35" w:name="_Toc989815653"/>
      <w:bookmarkStart w:id="36" w:name="_Toc579775874"/>
      <w:bookmarkStart w:id="37" w:name="_Toc1229686241"/>
      <w:bookmarkStart w:id="38" w:name="_Toc665197788"/>
      <w:bookmarkStart w:id="39" w:name="_Toc315564887"/>
      <w:bookmarkStart w:id="40" w:name="_Toc1093498656"/>
      <w:bookmarkStart w:id="41" w:name="_Toc2129800646"/>
      <w:bookmarkStart w:id="42" w:name="_Toc1062827402"/>
      <w:bookmarkStart w:id="43" w:name="_Toc240142232"/>
    </w:p>
    <w:p>
      <w:pP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p>
    <w:p>
      <w:pPr>
        <w:pStyle w:val="8"/>
        <w:rPr>
          <w:rFonts w:ascii="宋体" w:hAnsi="宋体" w:cs="宋体"/>
          <w:color w:val="000000" w:themeColor="text1"/>
          <w:kern w:val="0"/>
          <w:sz w:val="44"/>
          <w:szCs w:val="44"/>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响  应  文  件</w:t>
      </w:r>
    </w:p>
    <w:p>
      <w:pPr>
        <w:spacing w:line="60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技术部分</w:t>
      </w:r>
    </w:p>
    <w:p>
      <w:pPr>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（填写正本或副本）</w:t>
      </w:r>
    </w:p>
    <w:p>
      <w:pPr>
        <w:spacing w:line="360" w:lineRule="auto"/>
        <w:ind w:firstLine="482" w:firstLineChars="200"/>
        <w:jc w:val="cente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kern w:val="0"/>
          <w:sz w:val="24"/>
          <w:szCs w:val="24"/>
          <w14:textFill>
            <w14:solidFill>
              <w14:schemeClr w14:val="tx1"/>
            </w14:solidFill>
          </w14:textFill>
        </w:rPr>
      </w:pPr>
    </w:p>
    <w:p>
      <w:pPr>
        <w:pStyle w:val="8"/>
        <w:rPr>
          <w:rFonts w:ascii="宋体" w:hAnsi="宋体" w:cs="宋体"/>
          <w:color w:val="000000" w:themeColor="text1"/>
          <w:kern w:val="0"/>
          <w:sz w:val="24"/>
          <w14:textFill>
            <w14:solidFill>
              <w14:schemeClr w14:val="tx1"/>
            </w14:solidFill>
          </w14:textFill>
        </w:rPr>
      </w:pPr>
    </w:p>
    <w:p>
      <w:pPr>
        <w:rPr>
          <w:rFonts w:ascii="宋体" w:hAnsi="宋体" w:cs="宋体"/>
          <w:b/>
          <w:color w:val="000000" w:themeColor="text1"/>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项目名称：</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项目编号：</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所投采购包：</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482" w:firstLineChars="200"/>
        <w:jc w:val="center"/>
        <w:rPr>
          <w:rFonts w:ascii="宋体" w:hAnsi="宋体" w:cs="宋体"/>
          <w:b/>
          <w:color w:val="000000" w:themeColor="text1"/>
          <w:kern w:val="0"/>
          <w:sz w:val="24"/>
          <w:szCs w:val="24"/>
          <w14:textFill>
            <w14:solidFill>
              <w14:schemeClr w14:val="tx1"/>
            </w14:solidFill>
          </w14:textFill>
        </w:rPr>
      </w:pP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供应商：</w:t>
      </w:r>
      <w:r>
        <w:rPr>
          <w:rFonts w:hint="eastAsia" w:ascii="宋体" w:hAnsi="宋体" w:cs="宋体"/>
          <w:b/>
          <w:color w:val="000000" w:themeColor="text1"/>
          <w:kern w:val="0"/>
          <w:sz w:val="24"/>
          <w:szCs w:val="24"/>
          <w:u w:val="single"/>
          <w14:textFill>
            <w14:solidFill>
              <w14:schemeClr w14:val="tx1"/>
            </w14:solidFill>
          </w14:textFill>
        </w:rPr>
        <w:t xml:space="preserve">                 </w:t>
      </w:r>
    </w:p>
    <w:p>
      <w:pPr>
        <w:spacing w:line="360" w:lineRule="auto"/>
        <w:ind w:left="1470" w:leftChars="700" w:firstLine="1687" w:firstLineChars="700"/>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日  期：</w:t>
      </w:r>
      <w:r>
        <w:rPr>
          <w:rFonts w:hint="eastAsia" w:ascii="宋体" w:hAnsi="宋体" w:cs="宋体"/>
          <w:b/>
          <w:color w:val="000000" w:themeColor="text1"/>
          <w:kern w:val="0"/>
          <w:sz w:val="24"/>
          <w:szCs w:val="24"/>
          <w:u w:val="single"/>
          <w14:textFill>
            <w14:solidFill>
              <w14:schemeClr w14:val="tx1"/>
            </w14:solidFill>
          </w14:textFill>
        </w:rPr>
        <w:t xml:space="preserve">                 </w:t>
      </w:r>
    </w:p>
    <w:p>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End w:id="34"/>
      <w:bookmarkEnd w:id="35"/>
      <w:bookmarkEnd w:id="36"/>
      <w:bookmarkEnd w:id="37"/>
      <w:bookmarkEnd w:id="38"/>
      <w:bookmarkEnd w:id="39"/>
      <w:bookmarkEnd w:id="40"/>
      <w:bookmarkEnd w:id="41"/>
      <w:bookmarkEnd w:id="42"/>
      <w:bookmarkEnd w:id="43"/>
      <w:r>
        <w:rPr>
          <w:rFonts w:hint="eastAsia" w:ascii="宋体" w:hAnsi="宋体" w:cs="宋体"/>
          <w:b/>
          <w:bCs/>
          <w:color w:val="000000" w:themeColor="text1"/>
          <w:sz w:val="28"/>
          <w:szCs w:val="28"/>
          <w14:textFill>
            <w14:solidFill>
              <w14:schemeClr w14:val="tx1"/>
            </w14:solidFill>
          </w14:textFill>
        </w:rPr>
        <w:t>格式10 技术条款偏离表</w:t>
      </w:r>
    </w:p>
    <w:tbl>
      <w:tblPr>
        <w:tblStyle w:val="19"/>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16" w:type="dxa"/>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技术部分序号</w:t>
            </w:r>
          </w:p>
        </w:tc>
        <w:tc>
          <w:tcPr>
            <w:tcW w:w="2116"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w:t>
            </w:r>
            <w:r>
              <w:rPr>
                <w:rFonts w:hint="eastAsia" w:ascii="宋体" w:hAnsi="宋体" w:cs="宋体"/>
                <w:b/>
                <w:color w:val="000000" w:themeColor="text1"/>
                <w:szCs w:val="21"/>
                <w14:textFill>
                  <w14:solidFill>
                    <w14:schemeClr w14:val="tx1"/>
                  </w14:solidFill>
                </w14:textFill>
              </w:rPr>
              <w:t>文件</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技术部分内容要求</w:t>
            </w:r>
          </w:p>
        </w:tc>
        <w:tc>
          <w:tcPr>
            <w:tcW w:w="1684"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响应文件</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应答情况</w:t>
            </w:r>
          </w:p>
        </w:tc>
        <w:tc>
          <w:tcPr>
            <w:tcW w:w="2090"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偏离（无/正/负）</w:t>
            </w:r>
          </w:p>
        </w:tc>
        <w:tc>
          <w:tcPr>
            <w:tcW w:w="832" w:type="dxa"/>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ind w:left="50" w:leftChars="24" w:right="55" w:rightChars="26"/>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116"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68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209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w:t>
      </w:r>
      <w:r>
        <w:rPr>
          <w:rFonts w:hint="eastAsia" w:ascii="宋体" w:hAnsi="宋体" w:cs="宋体"/>
          <w:color w:val="000000" w:themeColor="text1"/>
          <w14:textFill>
            <w14:solidFill>
              <w14:schemeClr w14:val="tx1"/>
            </w14:solidFill>
          </w14:textFill>
        </w:rPr>
        <w:t>应按磋商文件《第六章　项目采购需求》中的“技术要求”，结合自身投标情况对技术条款逐条响应。</w:t>
      </w:r>
      <w:r>
        <w:rPr>
          <w:rFonts w:hint="eastAsia" w:ascii="宋体" w:hAnsi="宋体" w:cs="宋体"/>
          <w:color w:val="000000" w:themeColor="text1"/>
          <w:szCs w:val="21"/>
          <w14:textFill>
            <w14:solidFill>
              <w14:schemeClr w14:val="tx1"/>
            </w14:solidFill>
          </w14:textFill>
        </w:rPr>
        <w:t>如果对</w:t>
      </w:r>
      <w:r>
        <w:rPr>
          <w:rFonts w:hint="eastAsia" w:ascii="宋体" w:hAnsi="宋体" w:cs="宋体"/>
          <w:color w:val="000000" w:themeColor="text1"/>
          <w14:textFill>
            <w14:solidFill>
              <w14:schemeClr w14:val="tx1"/>
            </w14:solidFill>
          </w14:textFill>
        </w:rPr>
        <w:t>磋商文件《第六章　项目采购需求》中的“技术要求”</w:t>
      </w:r>
      <w:r>
        <w:rPr>
          <w:rFonts w:hint="eastAsia" w:ascii="宋体" w:hAnsi="宋体" w:cs="宋体"/>
          <w:color w:val="000000" w:themeColor="text1"/>
          <w:szCs w:val="21"/>
          <w14:textFill>
            <w14:solidFill>
              <w14:schemeClr w14:val="tx1"/>
            </w14:solidFill>
          </w14:textFill>
        </w:rPr>
        <w:t>内容不做一一响应，而将“响应文件应答情况”简单笼统描述为“无偏离”，则视为无效应答。</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磋商文件《第六章　项目采购需求》中的“技术要求”</w:t>
      </w:r>
      <w:r>
        <w:rPr>
          <w:rFonts w:hint="eastAsia" w:ascii="宋体" w:hAnsi="宋体" w:cs="宋体"/>
          <w:color w:val="000000" w:themeColor="text1"/>
          <w:szCs w:val="21"/>
          <w14:textFill>
            <w14:solidFill>
              <w14:schemeClr w14:val="tx1"/>
            </w14:solidFill>
          </w14:textFill>
        </w:rPr>
        <w:t>内容须条对条应答，不得遗漏；如有遗漏，则视为无效应答。如无偏离，请在此表中填写“无偏离”。如有偏离，请在此表中应答为“正/负偏离”并说明偏离情况；</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w:t>
      </w:r>
      <w:r>
        <w:rPr>
          <w:rFonts w:hint="eastAsia" w:ascii="宋体" w:hAnsi="宋体" w:cs="宋体"/>
          <w:color w:val="000000" w:themeColor="text1"/>
          <w14:textFill>
            <w14:solidFill>
              <w14:schemeClr w14:val="tx1"/>
            </w14:solidFill>
          </w14:textFill>
        </w:rPr>
        <w:t>磋商文件《第六章　项目采购需求》中的“技术要求”</w:t>
      </w:r>
      <w:r>
        <w:rPr>
          <w:rFonts w:hint="eastAsia" w:ascii="宋体" w:hAnsi="宋体" w:cs="宋体"/>
          <w:color w:val="000000" w:themeColor="text1"/>
          <w:szCs w:val="21"/>
          <w14:textFill>
            <w14:solidFill>
              <w14:schemeClr w14:val="tx1"/>
            </w14:solidFill>
          </w14:textFill>
        </w:rPr>
        <w:t>中有标注★号的，则为实质性要求，必须满足，如应答为“负偏离”，将导致响应无效。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31"/>
        <w:spacing w:after="156"/>
        <w:rPr>
          <w:rFonts w:ascii="宋体" w:hAnsi="宋体" w:cs="宋体"/>
          <w:color w:val="000000" w:themeColor="text1"/>
          <w:sz w:val="21"/>
          <w:szCs w:val="21"/>
          <w14:textFill>
            <w14:solidFill>
              <w14:schemeClr w14:val="tx1"/>
            </w14:solidFill>
          </w14:textFill>
        </w:rPr>
      </w:pP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（全称并加盖公章</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授权代表（签字）</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p>
    <w:p>
      <w:pPr>
        <w:jc w:val="center"/>
        <w:rPr>
          <w:rFonts w:ascii="宋体" w:hAnsi="宋体" w:cs="宋体"/>
          <w:color w:val="000000" w:themeColor="text1"/>
          <w:sz w:val="24"/>
          <w14:textFill>
            <w14:solidFill>
              <w14:schemeClr w14:val="tx1"/>
            </w14:solidFill>
          </w14:textFill>
        </w:rPr>
        <w:sectPr>
          <w:pgSz w:w="11906" w:h="16838"/>
          <w:pgMar w:top="1417" w:right="1417" w:bottom="1417" w:left="1417" w:header="851" w:footer="992" w:gutter="0"/>
          <w:cols w:space="720" w:num="1"/>
          <w:titlePg/>
          <w:docGrid w:type="lines" w:linePitch="312" w:charSpace="0"/>
        </w:sectPr>
      </w:pP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格式11  服务方案</w:t>
      </w:r>
    </w:p>
    <w:p>
      <w:pPr>
        <w:ind w:firstLine="560" w:firstLineChars="200"/>
        <w:rPr>
          <w:rFonts w:ascii="宋体" w:hAnsi="宋体" w:cs="宋体"/>
          <w:color w:val="000000" w:themeColor="text1"/>
          <w:sz w:val="28"/>
          <w:szCs w:val="28"/>
          <w14:textFill>
            <w14:solidFill>
              <w14:schemeClr w14:val="tx1"/>
            </w14:solidFill>
          </w14:textFill>
        </w:rPr>
      </w:pPr>
    </w:p>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服务方案说明</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服务类项目供应商应根据第六章规定编写服务方案说明。服务方案说明包括但不限于：</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rPr>
        <w:t>体检环境</w:t>
      </w:r>
      <w:r>
        <w:rPr>
          <w:rFonts w:hint="eastAsia" w:ascii="宋体" w:hAnsi="宋体" w:cs="宋体"/>
          <w:color w:val="000000" w:themeColor="text1"/>
          <w:kern w:val="0"/>
          <w:szCs w:val="21"/>
          <w14:textFill>
            <w14:solidFill>
              <w14:schemeClr w14:val="tx1"/>
            </w14:solidFill>
          </w14:textFill>
        </w:rPr>
        <w: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体检服务方案</w:t>
      </w:r>
      <w:r>
        <w:rPr>
          <w:rFonts w:hint="eastAsia" w:ascii="宋体" w:hAnsi="宋体" w:cs="宋体"/>
          <w:color w:val="000000" w:themeColor="text1"/>
          <w:kern w:val="0"/>
          <w:szCs w:val="21"/>
          <w14:textFill>
            <w14:solidFill>
              <w14:schemeClr w14:val="tx1"/>
            </w14:solidFill>
          </w14:textFill>
        </w:rPr>
        <w: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bCs/>
          <w:color w:val="000000" w:themeColor="text1"/>
          <w14:textFill>
            <w14:solidFill>
              <w14:schemeClr w14:val="tx1"/>
            </w14:solidFill>
          </w14:textFill>
        </w:rPr>
        <w:t>健康管理服务方案</w:t>
      </w:r>
      <w:r>
        <w:rPr>
          <w:rFonts w:hint="eastAsia" w:ascii="宋体" w:hAnsi="宋体" w:cs="宋体"/>
          <w:color w:val="000000" w:themeColor="text1"/>
          <w:kern w:val="0"/>
          <w:szCs w:val="21"/>
          <w14:textFill>
            <w14:solidFill>
              <w14:schemeClr w14:val="tx1"/>
            </w14:solidFill>
          </w14:textFill>
        </w:rPr>
        <w: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（4）其他。</w:t>
      </w:r>
    </w:p>
    <w:p>
      <w:pPr>
        <w:ind w:firstLine="420" w:firstLineChars="200"/>
        <w:rPr>
          <w:rFonts w:ascii="宋体" w:hAnsi="宋体" w:cs="宋体"/>
          <w:color w:val="000000" w:themeColor="text1"/>
          <w:szCs w:val="21"/>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服务承诺</w:t>
      </w:r>
      <w:r>
        <w:rPr>
          <w:rFonts w:hint="eastAsia" w:ascii="宋体" w:hAnsi="宋体" w:cs="宋体"/>
          <w:b/>
          <w:bCs/>
          <w:color w:val="000000" w:themeColor="text1"/>
          <w:sz w:val="28"/>
          <w:szCs w:val="28"/>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格式12 拟投入服务人员一览表</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 名</w:t>
            </w: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技术职称</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工作年限</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本项目中担任职务</w:t>
            </w: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认证情况</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一、项目管理人员</w:t>
            </w:r>
          </w:p>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56"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56"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56"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7"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189"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75"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243" w:type="dxa"/>
            <w:vAlign w:val="center"/>
          </w:tcPr>
          <w:p>
            <w:pPr>
              <w:adjustRightInd w:val="0"/>
              <w:jc w:val="center"/>
              <w:rPr>
                <w:rFonts w:ascii="宋体" w:hAnsi="宋体" w:cs="宋体"/>
                <w:color w:val="000000" w:themeColor="text1"/>
                <w:szCs w:val="21"/>
                <w14:textFill>
                  <w14:solidFill>
                    <w14:schemeClr w14:val="tx1"/>
                  </w14:solidFill>
                </w14:textFill>
              </w:rPr>
            </w:pPr>
          </w:p>
        </w:tc>
        <w:tc>
          <w:tcPr>
            <w:tcW w:w="1916" w:type="dxa"/>
            <w:vAlign w:val="center"/>
          </w:tcPr>
          <w:p>
            <w:pPr>
              <w:adjustRightInd w:val="0"/>
              <w:jc w:val="center"/>
              <w:rPr>
                <w:rFonts w:ascii="宋体" w:hAnsi="宋体" w:cs="宋体"/>
                <w:color w:val="000000" w:themeColor="text1"/>
                <w:szCs w:val="21"/>
                <w14:textFill>
                  <w14:solidFill>
                    <w14:schemeClr w14:val="tx1"/>
                  </w14:solidFill>
                </w14:textFill>
              </w:rPr>
            </w:pPr>
          </w:p>
        </w:tc>
      </w:tr>
    </w:tbl>
    <w:p>
      <w:pPr>
        <w:topLinePunct/>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特别说明：</w:t>
      </w:r>
    </w:p>
    <w:p>
      <w:pPr>
        <w:topLinePunct/>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供应商须按照上述格式填写投入本项目所有人员的相关信息。提供</w:t>
      </w:r>
      <w:r>
        <w:rPr>
          <w:rFonts w:hint="eastAsia" w:ascii="宋体" w:hAnsi="宋体" w:cs="宋体"/>
          <w:color w:val="000000" w:themeColor="text1"/>
          <w:szCs w:val="21"/>
          <w:lang w:bidi="ar"/>
          <w14:textFill>
            <w14:solidFill>
              <w14:schemeClr w14:val="tx1"/>
            </w14:solidFill>
          </w14:textFill>
        </w:rPr>
        <w:t>供应商与投入服务人员职称证书复印件（合同须体现相关工作内容，截止至本项目响应文件递交当天合同仍在有效期内）。</w:t>
      </w:r>
    </w:p>
    <w:p>
      <w:pPr>
        <w:topLinePunct/>
        <w:autoSpaceDE w:val="0"/>
        <w:autoSpaceDN w:val="0"/>
        <w:spacing w:line="460" w:lineRule="exact"/>
        <w:rPr>
          <w:rFonts w:ascii="宋体" w:hAnsi="宋体" w:cs="宋体"/>
          <w:bCs/>
          <w:color w:val="000000" w:themeColor="text1"/>
          <w:w w:val="150"/>
          <w:sz w:val="24"/>
          <w:shd w:val="clear" w:color="auto" w:fill="FFFF00"/>
          <w14:textFill>
            <w14:solidFill>
              <w14:schemeClr w14:val="tx1"/>
            </w14:solidFill>
          </w14:textFill>
        </w:rPr>
      </w:pPr>
    </w:p>
    <w:p>
      <w:pPr>
        <w:topLinePunct/>
        <w:autoSpaceDE w:val="0"/>
        <w:autoSpaceDN w:val="0"/>
        <w:spacing w:line="360" w:lineRule="auto"/>
        <w:ind w:firstLine="60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p>
    <w:p>
      <w:pPr>
        <w:pStyle w:val="8"/>
        <w:numPr>
          <w:ilvl w:val="0"/>
          <w:numId w:val="3"/>
        </w:numPr>
        <w:jc w:val="center"/>
        <w:rPr>
          <w:rStyle w:val="33"/>
          <w:rFonts w:hint="default"/>
          <w:b/>
          <w:color w:val="000000" w:themeColor="text1"/>
          <w:sz w:val="30"/>
          <w:szCs w:val="30"/>
          <w14:textFill>
            <w14:solidFill>
              <w14:schemeClr w14:val="tx1"/>
            </w14:solidFill>
          </w14:textFill>
        </w:rPr>
      </w:pPr>
      <w:r>
        <w:rPr>
          <w:rStyle w:val="33"/>
          <w:rFonts w:hint="default"/>
          <w:b/>
          <w:color w:val="000000" w:themeColor="text1"/>
          <w:sz w:val="30"/>
          <w:szCs w:val="30"/>
          <w14:textFill>
            <w14:solidFill>
              <w14:schemeClr w14:val="tx1"/>
            </w14:solidFill>
          </w14:textFill>
        </w:rPr>
        <w:t>项目采购需求</w:t>
      </w:r>
    </w:p>
    <w:p>
      <w:pPr>
        <w:spacing w:line="360" w:lineRule="exact"/>
        <w:ind w:firstLine="424" w:firstLineChars="20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w:t>
      </w:r>
    </w:p>
    <w:p>
      <w:pPr>
        <w:spacing w:line="360" w:lineRule="exact"/>
        <w:ind w:firstLine="424" w:firstLineChars="20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1、磋商文件中标注“★”符号的条款为实质性要求条款（即重要条款），对其中任何一条的负偏离，在评审时将其视为无效响应。</w:t>
      </w:r>
    </w:p>
    <w:p>
      <w:pPr>
        <w:spacing w:line="360" w:lineRule="exact"/>
        <w:ind w:firstLine="426" w:firstLineChars="202"/>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2、磋商文件中所要求提供的证明材料，如为英文文本的请同时提供中文翻译文本。</w:t>
      </w:r>
    </w:p>
    <w:p>
      <w:pPr>
        <w:spacing w:line="360" w:lineRule="exact"/>
        <w:ind w:firstLine="426" w:firstLineChars="202"/>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3、供应商所投标产品或服务如国家有强制性要求的应按国家规定执行，并提供相关证明材料。</w:t>
      </w:r>
    </w:p>
    <w:p>
      <w:pPr>
        <w:snapToGrid w:val="0"/>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采购标的对应的中小企业划分标准所属行业为其他未列明行业。</w:t>
      </w:r>
    </w:p>
    <w:p>
      <w:pPr>
        <w:rPr>
          <w:rFonts w:ascii="宋体" w:hAnsi="宋体" w:cs="宋体"/>
          <w:b/>
          <w:bCs/>
        </w:rPr>
      </w:pPr>
    </w:p>
    <w:p>
      <w:pPr>
        <w:rPr>
          <w:rFonts w:ascii="宋体" w:hAnsi="宋体" w:cs="宋体"/>
          <w:sz w:val="28"/>
          <w:szCs w:val="28"/>
        </w:rPr>
      </w:pPr>
      <w:r>
        <w:rPr>
          <w:rFonts w:hint="eastAsia" w:ascii="宋体" w:hAnsi="宋体" w:cs="宋体"/>
          <w:b/>
          <w:bCs/>
        </w:rPr>
        <w:t>一、技术服务内容及要求</w:t>
      </w:r>
    </w:p>
    <w:p>
      <w:pPr>
        <w:spacing w:line="400" w:lineRule="exact"/>
        <w:ind w:firstLine="420" w:firstLineChars="200"/>
        <w:rPr>
          <w:rFonts w:ascii="宋体" w:hAnsi="宋体" w:cs="宋体"/>
        </w:rPr>
      </w:pPr>
      <w:r>
        <w:rPr>
          <w:rFonts w:hint="eastAsia" w:ascii="宋体" w:hAnsi="宋体" w:cs="宋体"/>
        </w:rPr>
        <w:t>1、总体要求</w:t>
      </w:r>
    </w:p>
    <w:p>
      <w:pPr>
        <w:spacing w:line="400" w:lineRule="exact"/>
        <w:ind w:firstLine="420" w:firstLineChars="200"/>
        <w:rPr>
          <w:rFonts w:ascii="宋体" w:hAnsi="宋体" w:cs="宋体"/>
        </w:rPr>
      </w:pPr>
      <w:r>
        <w:rPr>
          <w:rFonts w:hint="eastAsia" w:ascii="宋体" w:hAnsi="宋体" w:cs="宋体"/>
        </w:rPr>
        <w:t>本项目拟成交1家供应商，每个职工可根据个人需求任选1项套餐进行体检。</w:t>
      </w:r>
    </w:p>
    <w:p>
      <w:pPr>
        <w:spacing w:line="400" w:lineRule="exact"/>
        <w:ind w:firstLine="420" w:firstLineChars="200"/>
        <w:rPr>
          <w:rFonts w:ascii="宋体" w:hAnsi="宋体" w:cs="宋体"/>
        </w:rPr>
      </w:pPr>
      <w:r>
        <w:rPr>
          <w:rFonts w:hint="eastAsia" w:ascii="宋体" w:hAnsi="宋体" w:cs="宋体"/>
        </w:rPr>
        <w:t>2、体检人数：</w:t>
      </w:r>
    </w:p>
    <w:p>
      <w:pPr>
        <w:spacing w:line="400" w:lineRule="exact"/>
        <w:ind w:firstLine="420" w:firstLineChars="200"/>
        <w:rPr>
          <w:rFonts w:ascii="宋体" w:hAnsi="宋体" w:cs="宋体"/>
        </w:rPr>
      </w:pPr>
      <w:r>
        <w:rPr>
          <w:rFonts w:hint="eastAsia" w:ascii="宋体" w:hAnsi="宋体" w:cs="宋体"/>
        </w:rPr>
        <w:t>本项目预计体检人数约233人（其中男在编（含退休）133人，女在编（含退休）79人，男劳派3人，女劳派18人），以上体检人数为预计数量，具体人数以实际检查统计的为准。</w:t>
      </w:r>
    </w:p>
    <w:p>
      <w:pPr>
        <w:spacing w:line="400" w:lineRule="exact"/>
        <w:ind w:firstLine="420" w:firstLineChars="200"/>
        <w:rPr>
          <w:rFonts w:ascii="宋体" w:hAnsi="宋体" w:cs="宋体"/>
        </w:rPr>
      </w:pPr>
      <w:r>
        <w:rPr>
          <w:rFonts w:hint="eastAsia" w:ascii="宋体" w:hAnsi="宋体" w:cs="宋体"/>
        </w:rPr>
        <w:t>3、服务要求：</w:t>
      </w:r>
    </w:p>
    <w:p>
      <w:pPr>
        <w:spacing w:line="400" w:lineRule="exact"/>
        <w:ind w:firstLine="420" w:firstLineChars="200"/>
        <w:rPr>
          <w:rFonts w:ascii="宋体" w:hAnsi="宋体" w:cs="宋体"/>
        </w:rPr>
      </w:pPr>
      <w:r>
        <w:rPr>
          <w:rFonts w:hint="eastAsia" w:ascii="宋体" w:hAnsi="宋体" w:cs="宋体"/>
        </w:rPr>
        <w:t>（一）服务地点：供应商体检中心；</w:t>
      </w:r>
    </w:p>
    <w:p>
      <w:pPr>
        <w:spacing w:line="400" w:lineRule="exact"/>
        <w:ind w:firstLine="420" w:firstLineChars="200"/>
        <w:rPr>
          <w:rFonts w:ascii="宋体" w:hAnsi="宋体" w:cs="宋体"/>
        </w:rPr>
      </w:pPr>
      <w:r>
        <w:rPr>
          <w:rFonts w:hint="eastAsia" w:ascii="宋体" w:hAnsi="宋体" w:cs="宋体"/>
        </w:rPr>
        <w:t>（二）个人体检结束后15日内出具检查报告，并及时出具个人健康处方及群体健康评价报告；</w:t>
      </w:r>
    </w:p>
    <w:p>
      <w:pPr>
        <w:spacing w:line="400" w:lineRule="exact"/>
        <w:ind w:firstLine="420" w:firstLineChars="200"/>
        <w:rPr>
          <w:rFonts w:ascii="宋体" w:hAnsi="宋体" w:cs="宋体"/>
        </w:rPr>
      </w:pPr>
      <w:r>
        <w:rPr>
          <w:rFonts w:hint="eastAsia" w:ascii="宋体" w:hAnsi="宋体" w:cs="宋体"/>
        </w:rPr>
        <w:t>（三）交通便利，设有专用停车区域：</w:t>
      </w:r>
    </w:p>
    <w:p>
      <w:pPr>
        <w:spacing w:line="400" w:lineRule="exact"/>
        <w:ind w:firstLine="420" w:firstLineChars="200"/>
        <w:rPr>
          <w:rFonts w:ascii="宋体" w:hAnsi="宋体" w:cs="宋体"/>
        </w:rPr>
      </w:pPr>
      <w:r>
        <w:rPr>
          <w:rFonts w:hint="eastAsia" w:ascii="宋体" w:hAnsi="宋体" w:cs="宋体"/>
        </w:rPr>
        <w:t>（四）供应商按照采购人对体检时间段的安排，做好前期准备工作，有专门人员对接体检工作；</w:t>
      </w:r>
    </w:p>
    <w:p>
      <w:pPr>
        <w:spacing w:line="400" w:lineRule="exact"/>
        <w:ind w:firstLine="420" w:firstLineChars="200"/>
        <w:rPr>
          <w:rFonts w:ascii="宋体" w:hAnsi="宋体" w:cs="宋体"/>
        </w:rPr>
      </w:pPr>
      <w:r>
        <w:rPr>
          <w:rFonts w:hint="eastAsia" w:ascii="宋体" w:hAnsi="宋体" w:cs="宋体"/>
        </w:rPr>
        <w:t>（五）确保服务流程顺畅，保障体检服务质量，</w:t>
      </w:r>
      <w:r>
        <w:rPr>
          <w:rFonts w:hint="eastAsia" w:ascii="宋体" w:hAnsi="宋体"/>
          <w:kern w:val="0"/>
          <w:szCs w:val="21"/>
        </w:rPr>
        <w:t>开展体检服务应遵守《中华人民共和国医师法》、《护士条例》、《医疗机构管理条例》、《医疗事故处理条例》、《医疗废物管理条例》、《放射诊疗管理规定》、《医疗质量管理办法》、《健康体检管理暂行规定》等法律、法规及规章制度</w:t>
      </w:r>
      <w:r>
        <w:rPr>
          <w:rFonts w:hint="eastAsia" w:ascii="宋体" w:hAnsi="宋体" w:cs="宋体"/>
        </w:rPr>
        <w:t>。做好参与体检的医务人员及相关人员的管理工作，遵守职业道德，保护个人隐私。参与体检的医务人员参加卫生行政部门组织的体检医生上岗培训，经考核合格，持证上岗。如因失职而造成不良影响和后果的，将按有关规定追究当事人及相关人员的责任；</w:t>
      </w:r>
    </w:p>
    <w:p>
      <w:pPr>
        <w:spacing w:line="400" w:lineRule="exact"/>
        <w:ind w:firstLine="420" w:firstLineChars="200"/>
        <w:rPr>
          <w:rFonts w:ascii="宋体" w:hAnsi="宋体" w:cs="宋体"/>
        </w:rPr>
      </w:pPr>
      <w:r>
        <w:rPr>
          <w:rFonts w:hint="eastAsia" w:ascii="宋体" w:hAnsi="宋体" w:cs="宋体"/>
        </w:rPr>
        <w:t>（六）体检人员因故未能按时或因行动不便前去体检的，供应商应按照采购人要求的时间为其安排补检或提供上门体检或预约接送体检服务；</w:t>
      </w:r>
    </w:p>
    <w:p>
      <w:pPr>
        <w:spacing w:line="400" w:lineRule="exact"/>
        <w:ind w:firstLine="420" w:firstLineChars="200"/>
        <w:rPr>
          <w:rFonts w:ascii="宋体" w:hAnsi="宋体" w:cs="宋体"/>
        </w:rPr>
      </w:pPr>
      <w:r>
        <w:rPr>
          <w:rFonts w:hint="eastAsia" w:ascii="宋体" w:hAnsi="宋体" w:cs="宋体"/>
        </w:rPr>
        <w:t>★（七）供应商须提供包含但不限于前台专人接待、体检人员身份登记、合理分流指导受检、现场医学健康咨询、隐私保护、现场急救等服务；</w:t>
      </w:r>
    </w:p>
    <w:p>
      <w:pPr>
        <w:spacing w:line="400" w:lineRule="exact"/>
        <w:ind w:firstLine="420" w:firstLineChars="200"/>
        <w:rPr>
          <w:rFonts w:ascii="宋体" w:hAnsi="宋体" w:cs="宋体"/>
        </w:rPr>
      </w:pPr>
      <w:r>
        <w:rPr>
          <w:rFonts w:hint="eastAsia" w:ascii="宋体" w:hAnsi="宋体" w:cs="宋体"/>
        </w:rPr>
        <w:t>★（八）供应商须承诺做到检出明显异常者，应在48小时内通知体检者本人，如该体检者需要预约专家门诊，由供应商协助预约专家门诊，若该体检者需要入院治疗，供应商应协助提供绿色通道就医。体检人如有自费延伸检查项目需求，供应商应协助完成。</w:t>
      </w:r>
    </w:p>
    <w:p>
      <w:pPr>
        <w:spacing w:line="400" w:lineRule="exact"/>
        <w:ind w:firstLine="420" w:firstLineChars="200"/>
        <w:rPr>
          <w:rFonts w:ascii="宋体" w:hAnsi="宋体" w:cs="宋体"/>
        </w:rPr>
      </w:pPr>
      <w:r>
        <w:rPr>
          <w:rFonts w:hint="eastAsia" w:ascii="宋体" w:hAnsi="宋体" w:cs="宋体"/>
        </w:rPr>
        <w:t>（九）供应商要协助采购人建立职工健康档案。</w:t>
      </w:r>
    </w:p>
    <w:p>
      <w:pPr>
        <w:spacing w:line="400" w:lineRule="exact"/>
        <w:ind w:firstLine="420" w:firstLineChars="200"/>
        <w:rPr>
          <w:rFonts w:ascii="宋体" w:hAnsi="宋体" w:cs="宋体"/>
        </w:rPr>
      </w:pPr>
      <w:r>
        <w:rPr>
          <w:rFonts w:hint="eastAsia" w:ascii="宋体" w:hAnsi="宋体" w:cs="宋体"/>
        </w:rPr>
        <w:t>4、服务方式</w:t>
      </w:r>
    </w:p>
    <w:p>
      <w:pPr>
        <w:spacing w:line="400" w:lineRule="exact"/>
        <w:ind w:firstLine="420" w:firstLineChars="200"/>
        <w:rPr>
          <w:rFonts w:ascii="宋体" w:hAnsi="宋体" w:cs="宋体"/>
        </w:rPr>
      </w:pPr>
      <w:r>
        <w:rPr>
          <w:rFonts w:hint="eastAsia" w:ascii="宋体" w:hAnsi="宋体" w:cs="宋体"/>
        </w:rPr>
        <w:t>供应商提供符合资质要求的专业医疗检查机构现场开展服务。</w:t>
      </w:r>
    </w:p>
    <w:p>
      <w:pPr>
        <w:spacing w:line="400" w:lineRule="exact"/>
        <w:ind w:firstLine="420" w:firstLineChars="200"/>
        <w:rPr>
          <w:rFonts w:ascii="宋体" w:hAnsi="宋体" w:cs="宋体"/>
        </w:rPr>
      </w:pPr>
      <w:r>
        <w:rPr>
          <w:rFonts w:hint="eastAsia" w:ascii="宋体" w:hAnsi="宋体" w:cs="宋体"/>
        </w:rPr>
        <w:t>5、服务流程</w:t>
      </w:r>
    </w:p>
    <w:p>
      <w:pPr>
        <w:spacing w:line="400" w:lineRule="exact"/>
        <w:ind w:firstLine="420" w:firstLineChars="200"/>
        <w:rPr>
          <w:rFonts w:ascii="宋体" w:hAnsi="宋体" w:cs="宋体"/>
        </w:rPr>
      </w:pPr>
      <w:r>
        <w:rPr>
          <w:rFonts w:hint="eastAsia" w:ascii="宋体" w:hAnsi="宋体" w:cs="宋体"/>
        </w:rPr>
        <w:t>成交供应商按照双方核定的体检内容，按照国家干部职工体检标准流程实施。</w:t>
      </w:r>
    </w:p>
    <w:p>
      <w:pPr>
        <w:spacing w:line="400" w:lineRule="exact"/>
        <w:ind w:firstLine="420" w:firstLineChars="200"/>
        <w:rPr>
          <w:rFonts w:ascii="宋体" w:hAnsi="宋体" w:cs="宋体"/>
        </w:rPr>
      </w:pPr>
      <w:r>
        <w:rPr>
          <w:rFonts w:hint="eastAsia" w:ascii="宋体" w:hAnsi="宋体" w:cs="宋体"/>
        </w:rPr>
        <w:t>6、其他要求：</w:t>
      </w:r>
    </w:p>
    <w:p>
      <w:pPr>
        <w:spacing w:line="400" w:lineRule="exact"/>
        <w:ind w:firstLine="420" w:firstLineChars="200"/>
        <w:rPr>
          <w:rFonts w:ascii="宋体" w:hAnsi="宋体" w:cs="宋体"/>
        </w:rPr>
      </w:pPr>
      <w:r>
        <w:rPr>
          <w:rFonts w:hint="eastAsia" w:ascii="宋体" w:hAnsi="宋体" w:cs="宋体"/>
        </w:rPr>
        <w:t>（一）供货商根据个人检查结果，将在保护个人隐私的前提下，单方通知本人前往专业医疗机构复诊，并将有关情况向其本人所在单位报告；</w:t>
      </w:r>
    </w:p>
    <w:p>
      <w:pPr>
        <w:spacing w:line="400" w:lineRule="exact"/>
        <w:ind w:firstLine="420" w:firstLineChars="200"/>
        <w:rPr>
          <w:rFonts w:ascii="宋体" w:hAnsi="宋体" w:cs="宋体"/>
        </w:rPr>
      </w:pPr>
      <w:r>
        <w:rPr>
          <w:rFonts w:hint="eastAsia" w:ascii="宋体" w:hAnsi="宋体" w:cs="宋体"/>
        </w:rPr>
        <w:t>（二）供应商应按照采购人要求的时间地点准时进行体检，原则上不能安排其他单位同时段体检；</w:t>
      </w:r>
    </w:p>
    <w:p>
      <w:pPr>
        <w:spacing w:line="400" w:lineRule="exact"/>
        <w:ind w:firstLine="420" w:firstLineChars="200"/>
        <w:rPr>
          <w:rFonts w:ascii="宋体" w:hAnsi="宋体" w:cs="宋体"/>
        </w:rPr>
      </w:pPr>
      <w:r>
        <w:rPr>
          <w:rFonts w:hint="eastAsia" w:ascii="宋体" w:hAnsi="宋体" w:cs="宋体"/>
        </w:rPr>
        <w:t>（三）供应商承诺在服务提供过程中出现由于体检单位体检服务人员的操作失误或使用材料问题而造成的责任事故，由供应商全部承担。</w:t>
      </w:r>
    </w:p>
    <w:p>
      <w:pPr>
        <w:spacing w:line="400" w:lineRule="exact"/>
        <w:ind w:firstLine="420" w:firstLineChars="200"/>
        <w:rPr>
          <w:rFonts w:ascii="宋体" w:hAnsi="宋体" w:cs="宋体"/>
        </w:rPr>
      </w:pPr>
      <w:r>
        <w:rPr>
          <w:rFonts w:hint="eastAsia" w:ascii="宋体" w:hAnsi="宋体" w:cs="宋体"/>
        </w:rPr>
        <w:t>（四）所有职工体检，均需包含营养早餐1份、健康状况及家族史检查及常规测量（测血压、身高、体重、腰围）1次，费用包</w:t>
      </w:r>
      <w:bookmarkStart w:id="44" w:name="_GoBack"/>
      <w:bookmarkEnd w:id="44"/>
      <w:r>
        <w:rPr>
          <w:rFonts w:hint="eastAsia" w:ascii="宋体" w:hAnsi="宋体" w:cs="宋体"/>
        </w:rPr>
        <w:t>含在单价报价中，采购人不另外结算。</w:t>
      </w:r>
    </w:p>
    <w:p>
      <w:pPr>
        <w:spacing w:line="400" w:lineRule="exact"/>
        <w:ind w:firstLine="420" w:firstLineChars="200"/>
        <w:rPr>
          <w:rFonts w:ascii="宋体" w:hAnsi="宋体" w:cs="宋体"/>
        </w:rPr>
      </w:pPr>
      <w:r>
        <w:rPr>
          <w:rFonts w:hint="eastAsia" w:ascii="宋体" w:hAnsi="宋体" w:cs="宋体"/>
        </w:rPr>
        <w:t>（五）供应商拟提供的项目实施人员不得少于20人。</w:t>
      </w:r>
    </w:p>
    <w:p>
      <w:pPr>
        <w:spacing w:line="400" w:lineRule="exact"/>
        <w:ind w:firstLine="420" w:firstLineChars="200"/>
        <w:rPr>
          <w:rFonts w:ascii="宋体" w:hAnsi="宋体" w:cs="宋体"/>
          <w:highlight w:val="none"/>
        </w:rPr>
      </w:pPr>
      <w:r>
        <w:rPr>
          <w:rFonts w:hint="eastAsia" w:ascii="宋体" w:hAnsi="宋体" w:cs="宋体"/>
          <w:highlight w:val="none"/>
        </w:rPr>
        <w:t>7、体检套餐要求：</w:t>
      </w:r>
    </w:p>
    <w:tbl>
      <w:tblPr>
        <w:tblStyle w:val="19"/>
        <w:tblW w:w="9182" w:type="dxa"/>
        <w:tblInd w:w="93" w:type="dxa"/>
        <w:tblLayout w:type="fixed"/>
        <w:tblCellMar>
          <w:top w:w="0" w:type="dxa"/>
          <w:left w:w="108" w:type="dxa"/>
          <w:bottom w:w="0" w:type="dxa"/>
          <w:right w:w="108" w:type="dxa"/>
        </w:tblCellMar>
      </w:tblPr>
      <w:tblGrid>
        <w:gridCol w:w="2212"/>
        <w:gridCol w:w="123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Style w:val="42"/>
                <w:rFonts w:ascii="宋体" w:eastAsia="宋体" w:cs="宋体"/>
                <w:color w:val="auto"/>
                <w:lang w:bidi="ar"/>
              </w:rPr>
              <w:t xml:space="preserve">    2025年体检套餐①（肺癌筛查）</w:t>
            </w:r>
            <w:r>
              <w:rPr>
                <w:rStyle w:val="41"/>
                <w:rFonts w:ascii="宋体" w:eastAsia="宋体" w:cs="宋体"/>
                <w:color w:val="auto"/>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细胞角蛋白19片段测定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对非小细胞肺癌的早期诊断、疗效监测和预后判断有重要意义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胃泌素释放肽前体(proGRP)</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对小细胞肺癌的早期诊断、疗效监测和预后判断有重要意义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神经元特异性烯醇化酶NSE(肺癌标志物测定)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NSE是小细胞肺癌首选标志物，用于小细胞肺癌的诊断和监测治疗反应</w:t>
            </w:r>
          </w:p>
        </w:tc>
      </w:tr>
      <w:tr>
        <w:tblPrEx>
          <w:tblCellMar>
            <w:top w:w="0" w:type="dxa"/>
            <w:left w:w="108" w:type="dxa"/>
            <w:bottom w:w="0" w:type="dxa"/>
            <w:right w:w="108" w:type="dxa"/>
          </w:tblCellMar>
        </w:tblPrEx>
        <w:trPr>
          <w:trHeight w:val="144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鳞状细胞癌抗原Scc</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Scc存在于子宫、子宫颈、肺、头颈等鳞状上皮细胞癌的细胞浆中，特别在非角化癌的细胞中含量更丰富。临床上常用于监测上述恶性肿瘤的治疗效果、复发、转移或评价预后</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糖类抗原CA242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用于消化道恶性肿瘤尤其是胰腺癌、结直肠癌的诊断</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甲状腺功能三项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CA125是目前最重要的卵巢癌相关抗原，在其他相关肿瘤，如肺癌、胰腺癌、乳腺癌、肝癌、胃肠道恶性肿瘤、子宫内膜癌、输卵管癌等肿瘤中也可见升高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人附睾上皮分泌蛋白4(HE4)(女)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HE4联合CA125在卵巢癌的早期诊断、病情监测，与良性肿瘤的鉴别诊断中有重要的临床意义。HE4对于子宫内膜癌的诊断也有一定的敏感性</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糖基抗原CA153（女）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为乳腺癌相关抗原，存在于乳腺癌、卵巢癌、宫颈癌等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胸部高分辨CT双能平扫+靶三维成像</w:t>
            </w:r>
          </w:p>
          <w:p>
            <w:pPr>
              <w:widowControl/>
              <w:jc w:val="left"/>
              <w:textAlignment w:val="center"/>
              <w:rPr>
                <w:rFonts w:hint="eastAsia" w:ascii="宋体" w:hAnsi="宋体" w:eastAsia="宋体" w:cs="宋体"/>
                <w:kern w:val="0"/>
                <w:sz w:val="20"/>
                <w:szCs w:val="20"/>
                <w:lang w:eastAsia="zh-CN" w:bidi="ar"/>
              </w:rPr>
            </w:pPr>
          </w:p>
          <w:p>
            <w:pPr>
              <w:widowControl/>
              <w:jc w:val="left"/>
              <w:textAlignment w:val="center"/>
              <w:rPr>
                <w:rFonts w:ascii="宋体" w:hAnsi="宋体" w:cs="宋体"/>
                <w:sz w:val="20"/>
                <w:szCs w:val="20"/>
              </w:rPr>
            </w:pPr>
            <w:r>
              <w:rPr>
                <w:rFonts w:hint="eastAsia" w:ascii="宋体" w:hAnsi="宋体" w:cs="宋体"/>
                <w:kern w:val="0"/>
                <w:sz w:val="20"/>
                <w:szCs w:val="20"/>
                <w:lang w:bidi="ar"/>
              </w:rPr>
              <w:t>（工作日）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区分胸部大血管、软组织、淋巴结、肺、气管等器官、组织及关系，分辨肺部结节、肿瘤及血供情况，对肺栓塞、血管瘤等疾病诊断有一定帮助；协助判断纯磨玻璃结节倾向于良性病变或恶性病变（肺癌）</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胸部高分辨CT双能平扫+靶三维成像</w:t>
            </w:r>
          </w:p>
          <w:p>
            <w:pPr>
              <w:widowControl/>
              <w:jc w:val="left"/>
              <w:textAlignment w:val="center"/>
              <w:rPr>
                <w:rFonts w:hint="eastAsia" w:ascii="宋体" w:hAnsi="宋体" w:eastAsia="宋体" w:cs="宋体"/>
                <w:kern w:val="0"/>
                <w:sz w:val="20"/>
                <w:szCs w:val="20"/>
                <w:lang w:eastAsia="zh-CN" w:bidi="ar"/>
              </w:rPr>
            </w:pPr>
          </w:p>
          <w:p>
            <w:pPr>
              <w:widowControl/>
              <w:jc w:val="left"/>
              <w:textAlignment w:val="center"/>
              <w:rPr>
                <w:rFonts w:ascii="宋体" w:hAnsi="宋体" w:cs="宋体"/>
                <w:sz w:val="20"/>
                <w:szCs w:val="20"/>
              </w:rPr>
            </w:pPr>
            <w:r>
              <w:rPr>
                <w:rFonts w:hint="eastAsia" w:ascii="宋体" w:hAnsi="宋体" w:cs="宋体"/>
                <w:kern w:val="0"/>
                <w:sz w:val="20"/>
                <w:szCs w:val="20"/>
                <w:lang w:bidi="ar"/>
              </w:rPr>
              <w:t>（工作日）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泌尿系彩超(输尿管、膀胱)（女）</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控制价合计（元）：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2053.90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2055.60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2099.50 </w:t>
            </w: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9"/>
        <w:tblW w:w="9182" w:type="dxa"/>
        <w:tblInd w:w="93" w:type="dxa"/>
        <w:tblLayout w:type="fixed"/>
        <w:tblCellMar>
          <w:top w:w="0" w:type="dxa"/>
          <w:left w:w="108" w:type="dxa"/>
          <w:bottom w:w="0" w:type="dxa"/>
          <w:right w:w="108" w:type="dxa"/>
        </w:tblCellMar>
      </w:tblPr>
      <w:tblGrid>
        <w:gridCol w:w="2212"/>
        <w:gridCol w:w="123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2025年体检套餐②（内分泌代谢性疾病筛查）</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尿蛋白六项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慢性肾病的早期筛查，是肾损伤的早期敏感指标</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主要用于卵巢癌的筛查、诊断、治疗效果监测，对子宫颈腺癌、子宫内膜癌也有一定的诊断意义；子宫内膜异位症、子宫腺肌症、肝硬化失代偿期、女性早孕期也会发现升高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糖化血红蛋白</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反映2-3个月内平均血糖情况，用于糖尿病的筛查和疗效检测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胰岛素测定（空腹+餐后2h）</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协助糖尿病分型及评估胰岛β细胞功能</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甲状腺功能五项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甲状腺抗体三项（TGAb、TRAb、TPOAb）</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辅助诊断甲状腺疾病</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25羟基维生素D</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血清25羟维生素D水平可作为评估维生素D营养状况的客观指标，维生素D的缺乏可引起骨质疏松症等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骨钙素</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骨钙素在调节骨钙代谢中起重要作用，是研究骨代谢的一项新的生化标志物，对骨质疏松症、钙代谢异常等疾病诊断有重要价值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骨密度测定（双能X线）（周一至周六）</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明确是否有骨质疏松、骨量减少，提示骨折风险</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无创肝纤维化及脂肪定量检测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评估肝纤维化有无及程度，用于检测慢性肝病纤维化进展情况，可以作为门诊长期随访的指标</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双侧颈部血管超声(颈总动脉/颈外脉/颈内动脉）</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了解颈总动脉、颈内动脉、颈外动脉中内膜厚度、是否有斑块形成、狭窄等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了解颈总动脉中内膜厚度、是否有斑块形成、狭窄等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0"/>
                <w:szCs w:val="20"/>
                <w:lang w:bidi="ar"/>
              </w:rPr>
              <w:t>控制价合计（元）：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2053.70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2086.30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2075.20 </w:t>
            </w: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bl>
    <w:p>
      <w:pPr>
        <w:rPr>
          <w:rFonts w:ascii="宋体" w:hAnsi="宋体" w:cs="宋体"/>
        </w:rPr>
      </w:pPr>
    </w:p>
    <w:p>
      <w:pPr>
        <w:rPr>
          <w:rFonts w:ascii="宋体" w:hAnsi="宋体" w:cs="宋体"/>
        </w:rPr>
      </w:pPr>
    </w:p>
    <w:tbl>
      <w:tblPr>
        <w:tblStyle w:val="19"/>
        <w:tblW w:w="9182" w:type="dxa"/>
        <w:tblInd w:w="93" w:type="dxa"/>
        <w:tblLayout w:type="autofit"/>
        <w:tblCellMar>
          <w:top w:w="0" w:type="dxa"/>
          <w:left w:w="108" w:type="dxa"/>
          <w:bottom w:w="0" w:type="dxa"/>
          <w:right w:w="108" w:type="dxa"/>
        </w:tblCellMar>
      </w:tblPr>
      <w:tblGrid>
        <w:gridCol w:w="2212"/>
        <w:gridCol w:w="123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 xml:space="preserve">          2025年体检套餐③（心血管疾病筛查）</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血清脂蛋白电泳分析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血清脂蛋白电泳作为常规血脂检测的补充，是心血管风险评估、高脂血症分型及病因鉴别、指导个性化治疗的重要工具，尤其适用于疑难血脂异常等的诊断与治疗指导。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电解质5项（钾、钠、氯、钙、磷）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了解电解质情况，指导合理膳食，协助诊断某些内分泌疾病</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同型半胱氨酸</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是动脉粥样硬化等心血管疾病的一个独立危险因子，早期识别动脉粥样硬化的危险性</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心肌酶六项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适用于怀疑有心肌疾病、骨骼肌病变的人检测，协助诊断心肌梗死、心肌炎等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甲状腺功能五项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心脏彩色超声(2DQ)</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了解心脏结构、血流情况、心功能及瓣膜病变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双侧颈部血管超声(颈总动脉/颈内动脉/颈外动脉）</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了解颈总动脉、颈内动脉、颈外动脉中内膜厚度、是否有斑块形成、狭窄等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全身动脉硬化监测</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筛查与诊断早期动脉硬化病变等，对心脑血管疾病及代谢类疾病的防治有重要的指导意义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泌尿系彩超(输尿管、膀胱)（女）</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了解双肾、膀胱、输尿管有无肿块、结石等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0"/>
                <w:szCs w:val="20"/>
                <w:lang w:bidi="ar"/>
              </w:rPr>
              <w:t>控制价合计（元）：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2084.70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2031.50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2064.50 </w:t>
            </w:r>
          </w:p>
        </w:tc>
        <w:tc>
          <w:tcPr>
            <w:tcW w:w="33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bl>
    <w:p>
      <w:pPr>
        <w:rPr>
          <w:rFonts w:ascii="宋体" w:hAnsi="宋体" w:cs="宋体"/>
        </w:rPr>
      </w:pPr>
    </w:p>
    <w:p>
      <w:pPr>
        <w:rPr>
          <w:rFonts w:ascii="宋体" w:hAnsi="宋体" w:cs="宋体"/>
        </w:rPr>
      </w:pPr>
    </w:p>
    <w:tbl>
      <w:tblPr>
        <w:tblStyle w:val="19"/>
        <w:tblW w:w="9182" w:type="dxa"/>
        <w:tblInd w:w="93" w:type="dxa"/>
        <w:tblLayout w:type="fixed"/>
        <w:tblCellMar>
          <w:top w:w="0" w:type="dxa"/>
          <w:left w:w="108" w:type="dxa"/>
          <w:bottom w:w="0" w:type="dxa"/>
          <w:right w:w="108" w:type="dxa"/>
        </w:tblCellMar>
      </w:tblPr>
      <w:tblGrid>
        <w:gridCol w:w="2295"/>
        <w:gridCol w:w="1147"/>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2025年体检套餐④（脑血管疾病筛查）</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糖化血红蛋白</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反映2-3个月内平均血糖情况，用于糖尿病的筛查和疗效检测</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同型半胱氨酸</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是动脉粥样硬化等心血管疾病的一个独立危险因子，早期识别动脉粥样硬化的危险性</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血清肌钙蛋白I</w:t>
            </w:r>
          </w:p>
        </w:tc>
        <w:tc>
          <w:tcPr>
            <w:tcW w:w="1147"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评价是否存在心肌梗死的特异性标志物之一</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14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甲状腺功能三项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头颅CT平扫</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应用于颅脑病变的定性和定量诊断</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双侧颈部血管超声(颈总动脉/颈外动脉/颈内动脉/颈内静脉/椎动脉/锁骨下动脉/头臂干）</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了解颈总动脉、颈外动脉、颈内动脉、颈内静脉、椎动脉、锁骨下动脉、头臂干中内膜厚度、是否有斑块形成、狭窄等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双侧颈部血管超声(颈总动脉/椎动脉）</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了解颈总动脉、椎动脉中内膜厚度、是否有斑块形成、狭窄等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全身动脉硬化监测</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了解全身大动脉硬化情况</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眼科(视力、眼底、裂隙灯)</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检查眼外观和视力是否正常，眼底是否黄斑变性和动脉硬化，角膜有无病变，晶状体有无病变（白内障）</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0"/>
                <w:szCs w:val="20"/>
                <w:lang w:bidi="ar"/>
              </w:rPr>
              <w:t>控制价合计（元）：</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2045.40 </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2058.00 </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2061.90 </w:t>
            </w: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bl>
    <w:p>
      <w:pPr>
        <w:rPr>
          <w:rFonts w:ascii="宋体" w:hAnsi="宋体" w:cs="宋体"/>
        </w:rPr>
      </w:pPr>
    </w:p>
    <w:p>
      <w:pPr>
        <w:rPr>
          <w:rFonts w:ascii="宋体" w:hAnsi="宋体" w:cs="宋体"/>
        </w:rPr>
      </w:pPr>
    </w:p>
    <w:tbl>
      <w:tblPr>
        <w:tblStyle w:val="19"/>
        <w:tblW w:w="9182" w:type="dxa"/>
        <w:tblInd w:w="93" w:type="dxa"/>
        <w:tblLayout w:type="autofit"/>
        <w:tblCellMar>
          <w:top w:w="0" w:type="dxa"/>
          <w:left w:w="108" w:type="dxa"/>
          <w:bottom w:w="0" w:type="dxa"/>
          <w:right w:w="108" w:type="dxa"/>
        </w:tblCellMar>
      </w:tblPr>
      <w:tblGrid>
        <w:gridCol w:w="2292"/>
        <w:gridCol w:w="115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2025年体检套餐⑤（消化系统筛查）</w:t>
            </w:r>
            <w:r>
              <w:rPr>
                <w:rStyle w:val="43"/>
                <w:rFonts w:ascii="宋体" w:eastAsia="宋体" w:cs="宋体"/>
                <w:color w:val="auto"/>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肾功能3项(尿素、尿酸、肌酐)</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肝肿瘤二项（甲胎蛋白AFP定量、甲胎蛋白异质体）</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对肝细胞癌的诊断有重要意义，可用于鉴别肝癌与良性肝病，提高早期肝癌的检出率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肝肿瘤三项（甲胎蛋白AFP定量、甲胎蛋白异质体、异常凝血酶原）</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对肝细胞癌的诊断有重要意义，可用于鉴别肝癌与良性肝病，提高早期肝癌的检出率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肝吸虫酶标抗体</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肝吸虫感染的辅助诊断指标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胃功能4项（胃泌素17、PGI、PGII、PCR）</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辅助诊断胃泌素瘤，判断胃分泌功能，早期筛查胃部疾病，了解胃部健康状况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丙型肝炎抗体</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了解丙型肝炎病毒感染情况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szCs w:val="20"/>
              </w:rPr>
            </w:pPr>
            <w:r>
              <w:rPr>
                <w:rFonts w:hint="eastAsia" w:ascii="宋体" w:hAnsi="宋体" w:cs="宋体"/>
                <w:kern w:val="0"/>
                <w:sz w:val="20"/>
                <w:szCs w:val="20"/>
                <w:lang w:bidi="ar"/>
              </w:rPr>
              <w:t>乙肝两对半（定量）</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了解乙型肝炎病毒感染情况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碳14幽门螺旋杆菌吹气试验</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诊断是否有幽门螺旋杆菌（Hp）感染，Hp感染是慢性胃炎、消化性溃疡的最主要病因，与胃癌的发生有一定关系</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上腹部CT平扫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了解上腹部各脏器的大体病变，如炎症、肿块等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0"/>
                <w:szCs w:val="20"/>
                <w:lang w:bidi="ar"/>
              </w:rPr>
              <w:t>控制价合计（元）：</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2086.70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2031.30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2048.20 </w:t>
            </w: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bl>
    <w:p>
      <w:pPr>
        <w:rPr>
          <w:rFonts w:ascii="宋体" w:hAnsi="宋体" w:cs="宋体"/>
        </w:rPr>
      </w:pPr>
    </w:p>
    <w:p>
      <w:pPr>
        <w:rPr>
          <w:rFonts w:ascii="宋体" w:hAnsi="宋体" w:cs="宋体"/>
        </w:rPr>
      </w:pPr>
    </w:p>
    <w:tbl>
      <w:tblPr>
        <w:tblStyle w:val="19"/>
        <w:tblW w:w="9182" w:type="dxa"/>
        <w:tblInd w:w="93" w:type="dxa"/>
        <w:tblLayout w:type="autofit"/>
        <w:tblCellMar>
          <w:top w:w="0" w:type="dxa"/>
          <w:left w:w="108" w:type="dxa"/>
          <w:bottom w:w="0" w:type="dxa"/>
          <w:right w:w="108" w:type="dxa"/>
        </w:tblCellMar>
      </w:tblPr>
      <w:tblGrid>
        <w:gridCol w:w="2292"/>
        <w:gridCol w:w="115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Fonts w:hint="eastAsia" w:ascii="宋体" w:hAnsi="宋体" w:cs="宋体"/>
                <w:b/>
                <w:bCs/>
                <w:kern w:val="0"/>
                <w:sz w:val="36"/>
                <w:szCs w:val="36"/>
                <w:lang w:bidi="ar"/>
              </w:rPr>
              <w:t>2025年体检套餐⑥（综合套餐）</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肝功能全套16项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肾功能全套6项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血脂全套8项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了解血脂，反映体内脂质代谢情况，早期识别动脉粥样硬化的危险性，以及对低脂饮食和调脂药物治疗后的监测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了解是否有低血糖，用于糖尿病的筛查、诊断和疗效监测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餐后2小时血糖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糖化血红蛋白</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反映2-3个月内平均血糖情况，用于糖尿病的筛查和疗效检测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了解尿液的酸碱性，尿的比重，有无管型尿、尿蛋白、尿糖、尿潜血、尿红细胞、尿白细胞等，对泌尿系统疾病筛查和糖尿病筛查有重要意义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EB病毒2项（VCA/IgA、EA/IgA）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鼻咽癌普查</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主要用于肝癌的普查、诊断等，对诊断滋养细胞恶性肿瘤也有重要意义；女性正常妊娠过程中也会增高，产后逐渐恢复正常。</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肝肿瘤二项（甲胎蛋白AFP定量、甲胎蛋白异质体）</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对肝细胞癌的诊断有重要意义，可用于鉴别肝癌与良性肝病，提高早期肝癌的检出率</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胃泌素17</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辅助诊断胃泌素瘤，判断胃分泌功能，早期筛查胃部疾病，了解胃部健康状况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甲功五项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碳14幽门螺旋杆菌吹气试验</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诊断是否有幽门螺旋杆菌（Hp）感染，Hp感染是慢性胃炎、消化性溃疡的最主要病因，与胃癌的发生有一定关系</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头颅CT平扫</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应用于颅脑病变的定性和定量诊断</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了解肝、胆、脾、胰等器官有无形态学变化，有无结石、肿瘤等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了解甲状腺有无肿大、结节或肿块等病变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双侧颈部血管超声(颈总动脉）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了解颈总动脉中内膜厚度、是否有斑块形成、狭窄等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了解前列腺有无肿块、增生，双肾、膀胱、输尿管有无肿块、结石等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泌尿系彩超(输尿管、膀胱)（女）</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了解双肾、膀胱、输尿管有无肿块、结石等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经腹部子宫、附件彩超（未婚女）</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以实际产生费用为准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0"/>
                <w:szCs w:val="20"/>
                <w:lang w:bidi="ar"/>
              </w:rPr>
              <w:t>控制价合计（元）：</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2092.70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2063.40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2038.30 </w:t>
            </w: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bl>
    <w:p>
      <w:pPr>
        <w:rPr>
          <w:rFonts w:ascii="宋体" w:hAnsi="宋体" w:cs="宋体"/>
        </w:rPr>
      </w:pPr>
    </w:p>
    <w:tbl>
      <w:tblPr>
        <w:tblStyle w:val="19"/>
        <w:tblW w:w="9182" w:type="dxa"/>
        <w:tblInd w:w="93" w:type="dxa"/>
        <w:tblLayout w:type="fixed"/>
        <w:tblCellMar>
          <w:top w:w="0" w:type="dxa"/>
          <w:left w:w="108" w:type="dxa"/>
          <w:bottom w:w="0" w:type="dxa"/>
          <w:right w:w="108" w:type="dxa"/>
        </w:tblCellMar>
      </w:tblPr>
      <w:tblGrid>
        <w:gridCol w:w="2292"/>
        <w:gridCol w:w="1150"/>
        <w:gridCol w:w="1200"/>
        <w:gridCol w:w="1240"/>
        <w:gridCol w:w="3300"/>
      </w:tblGrid>
      <w:tr>
        <w:tblPrEx>
          <w:tblCellMar>
            <w:top w:w="0" w:type="dxa"/>
            <w:left w:w="108" w:type="dxa"/>
            <w:bottom w:w="0" w:type="dxa"/>
            <w:right w:w="108" w:type="dxa"/>
          </w:tblCellMar>
        </w:tblPrEx>
        <w:trPr>
          <w:trHeight w:val="624" w:hRule="atLeast"/>
        </w:trPr>
        <w:tc>
          <w:tcPr>
            <w:tcW w:w="9182" w:type="dxa"/>
            <w:gridSpan w:val="5"/>
            <w:vMerge w:val="restart"/>
            <w:tcBorders>
              <w:top w:val="single" w:color="000000" w:sz="4" w:space="0"/>
              <w:left w:val="single" w:color="000000" w:sz="4" w:space="0"/>
              <w:bottom w:val="single" w:color="000000" w:sz="4" w:space="0"/>
              <w:right w:val="single" w:color="000000" w:sz="4" w:space="0"/>
            </w:tcBorders>
            <w:shd w:val="clear" w:color="auto" w:fill="2AA297"/>
            <w:vAlign w:val="center"/>
          </w:tcPr>
          <w:p>
            <w:pPr>
              <w:widowControl/>
              <w:jc w:val="center"/>
              <w:textAlignment w:val="center"/>
              <w:rPr>
                <w:rFonts w:ascii="宋体" w:hAnsi="宋体" w:cs="宋体"/>
                <w:b/>
                <w:bCs/>
                <w:sz w:val="36"/>
                <w:szCs w:val="36"/>
              </w:rPr>
            </w:pPr>
            <w:r>
              <w:rPr>
                <w:rStyle w:val="36"/>
                <w:color w:val="auto"/>
                <w:lang w:bidi="ar"/>
              </w:rPr>
              <w:t>2025年体检套餐⑦（协税员套餐）</w:t>
            </w:r>
            <w:r>
              <w:rPr>
                <w:rStyle w:val="44"/>
                <w:rFonts w:hint="eastAsia" w:ascii="宋体" w:hAnsi="宋体" w:cs="宋体"/>
                <w:color w:val="auto"/>
                <w:lang w:bidi="ar"/>
              </w:rPr>
              <w:t xml:space="preserve"> </w:t>
            </w:r>
          </w:p>
        </w:tc>
      </w:tr>
      <w:tr>
        <w:tblPrEx>
          <w:tblCellMar>
            <w:top w:w="0" w:type="dxa"/>
            <w:left w:w="108" w:type="dxa"/>
            <w:bottom w:w="0" w:type="dxa"/>
            <w:right w:w="108" w:type="dxa"/>
          </w:tblCellMar>
        </w:tblPrEx>
        <w:trPr>
          <w:trHeight w:val="624" w:hRule="atLeast"/>
        </w:trPr>
        <w:tc>
          <w:tcPr>
            <w:tcW w:w="9182" w:type="dxa"/>
            <w:gridSpan w:val="5"/>
            <w:vMerge w:val="continue"/>
            <w:tcBorders>
              <w:top w:val="single" w:color="000000" w:sz="4" w:space="0"/>
              <w:left w:val="single" w:color="000000" w:sz="4" w:space="0"/>
              <w:bottom w:val="single" w:color="000000" w:sz="4" w:space="0"/>
              <w:right w:val="single" w:color="000000" w:sz="4" w:space="0"/>
            </w:tcBorders>
            <w:shd w:val="clear" w:color="auto" w:fill="2AA297"/>
            <w:vAlign w:val="center"/>
          </w:tcPr>
          <w:p>
            <w:pPr>
              <w:jc w:val="center"/>
              <w:rPr>
                <w:rFonts w:ascii="宋体" w:hAnsi="宋体" w:cs="宋体"/>
                <w:b/>
                <w:bCs/>
                <w:sz w:val="36"/>
                <w:szCs w:val="36"/>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体 检 项 目</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男性</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已婚女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未婚女</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lang w:bidi="ar"/>
              </w:rPr>
              <w:t>项目意义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肝功能检测2项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了解肝脏功能情况，诊断是否有肝功能损害、胆道梗阻、低蛋白血症等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肾功能3项检测(尿素、尿酸、肌酐)</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反应肾小球滤过功能、了解有无肾功能损害及高尿酸血症等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血脂检测4项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早期识别动脉粥样硬化的危险性，以及对低脂饮食和调脂药物治疗后的监测</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空腹血糖</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从血糖水平了解是否有低血糖、糖尿病，了解血糖控制情况</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了解血细胞情况，排除炎症性疾病、血液病等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尿常规</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了解尿液的酸碱性，尿的比重、尿液成分是否正常：如红白细胞情况、蛋白尿、尿糖、尿酮体等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甲胎蛋白AFP</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对诊断肝细胞癌及滋养细胞恶性肿瘤有重要意义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癌胚抗原CEA</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广谱性肿瘤标志物，可提示直肠癌、结肠癌、肺癌、乳腺癌、胰腺癌等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糖基抗原CA199</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对诊断胰腺癌、胆管癌、肠癌、胃癌有较大临床价值</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总前列腺特异性抗原(T-PSA)(男)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是前列腺癌特异性筛查指标，前列腺增生、前列腺炎等PSA也可升高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游离前列腺特异性抗原(F-PSA)(男)</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血清促甲状腺激素测定</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甲状腺功能检测，了解是否有甲亢或甲减</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常规心电图检查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了解有无心律失常、心肌缺血、心肌梗死、心房、心室肥大等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胸部正位片</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了解肺部的大体病变，如肺部炎症、肿块、结核等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胸部CT(平扫)</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有助于对胸片发现的问题做出定性诊断，可检出胸片未能发现的隐性病灶</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腹部彩超(肝、胆、脾、胰、双肾)</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了解肝、胆、肾、脾、胰等器官有无形态学变化，有无结石、肿瘤等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甲状腺彩色超声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了解甲状腺有无肿大、结节或肿块</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高频双乳腺彩色超声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了解乳腺有无肿瘤、小叶增生等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经阴道子宫、附件彩超（已婚）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了解子宫、附件发育情况，有无器质性病变，如子宫肌瘤、卵巢肿物等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经腹部子宫、附件彩超（未婚）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33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妇检+宫颈液基薄层细胞学检查（已婚）</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通过宫颈细胞学筛查宫颈癌及癌前病变</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泌尿系彩超(输尿管、膀胱、前列腺)(男)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了解前列腺有无肿块、增生，膀胱、输尿管有无肿块、结石等</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临床内、外科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心、肺，肝、脾检查，发现内科疾病的征兆；检查甲状腺、乳腺、皮肤、淋巴结、脊柱、四肢关节、肛门指检，发现外科疾病的征兆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临床耳鼻喉科</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检查耳、鼻、咽，发现耳鼻喉科疾病的征兆</w:t>
            </w: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体检费、建立健康档案</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测血压、身高、体重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试管、采血费</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早餐</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p>
        </w:tc>
        <w:tc>
          <w:tcPr>
            <w:tcW w:w="33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80" w:hRule="atLeast"/>
        </w:trPr>
        <w:tc>
          <w:tcPr>
            <w:tcW w:w="2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0"/>
                <w:szCs w:val="20"/>
                <w:lang w:bidi="ar"/>
              </w:rPr>
              <w:t>控制价合计（元）：</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1010.55 </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949.95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982.05 </w:t>
            </w:r>
          </w:p>
        </w:tc>
        <w:tc>
          <w:tcPr>
            <w:tcW w:w="33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24"/>
                <w:szCs w:val="24"/>
              </w:rPr>
            </w:pPr>
          </w:p>
        </w:tc>
      </w:tr>
    </w:tbl>
    <w:p>
      <w:pPr>
        <w:rPr>
          <w:rFonts w:ascii="宋体" w:hAnsi="宋体" w:cs="宋体"/>
        </w:rPr>
      </w:pPr>
    </w:p>
    <w:p>
      <w:pPr>
        <w:rPr>
          <w:rFonts w:ascii="宋体" w:hAnsi="宋体" w:cs="宋体"/>
        </w:rPr>
      </w:pPr>
    </w:p>
    <w:p>
      <w:pPr>
        <w:rPr>
          <w:rFonts w:ascii="宋体" w:hAnsi="宋体" w:cs="宋体"/>
          <w:sz w:val="28"/>
          <w:szCs w:val="28"/>
        </w:rPr>
      </w:pPr>
      <w:r>
        <w:rPr>
          <w:rFonts w:hint="eastAsia" w:ascii="宋体" w:hAnsi="宋体" w:cs="宋体"/>
        </w:rPr>
        <w:t>★</w:t>
      </w:r>
      <w:r>
        <w:rPr>
          <w:rFonts w:hint="eastAsia" w:ascii="宋体" w:hAnsi="宋体" w:cs="宋体"/>
          <w:b/>
        </w:rPr>
        <w:t>二、商务要求：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973"/>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s="宋体"/>
              </w:rPr>
            </w:pPr>
            <w:r>
              <w:rPr>
                <w:rFonts w:hint="eastAsia" w:ascii="宋体" w:hAnsi="宋体" w:cs="宋体"/>
              </w:rPr>
              <w:t>1</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合同签订日期</w:t>
            </w:r>
          </w:p>
        </w:tc>
        <w:tc>
          <w:tcPr>
            <w:tcW w:w="759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s="宋体"/>
              </w:rPr>
            </w:pPr>
            <w:r>
              <w:rPr>
                <w:rFonts w:hint="eastAsia" w:ascii="宋体" w:hAnsi="宋体" w:cs="宋体"/>
              </w:rPr>
              <w:t>2</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服务时间、服务地点</w:t>
            </w:r>
          </w:p>
        </w:tc>
        <w:tc>
          <w:tcPr>
            <w:tcW w:w="759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服务时间：自签订合同之日起至2025年12月31日止，服务期内须完成采购人在职职工及退休人员的体检服务（以实际体检人员数量为准）。</w:t>
            </w:r>
          </w:p>
          <w:p>
            <w:pPr>
              <w:spacing w:line="400" w:lineRule="exact"/>
              <w:jc w:val="left"/>
              <w:rPr>
                <w:rFonts w:ascii="宋体" w:hAnsi="宋体" w:cs="宋体"/>
              </w:rPr>
            </w:pPr>
            <w:r>
              <w:rPr>
                <w:rFonts w:hint="eastAsia" w:ascii="宋体" w:hAnsi="宋体" w:cs="宋体"/>
              </w:rPr>
              <w:t>服务地点：供应商体检中心。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61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s="宋体"/>
              </w:rPr>
            </w:pPr>
            <w:r>
              <w:rPr>
                <w:rFonts w:hint="eastAsia" w:ascii="宋体" w:hAnsi="宋体" w:cs="宋体"/>
              </w:rPr>
              <w:t>3</w:t>
            </w:r>
          </w:p>
        </w:tc>
        <w:tc>
          <w:tcPr>
            <w:tcW w:w="9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报价要求</w:t>
            </w:r>
          </w:p>
        </w:tc>
        <w:tc>
          <w:tcPr>
            <w:tcW w:w="7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（一）、报价要求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（1）服务的价格</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（2）其他费用（包括但不限于售后服务等费用）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（3）必要的保险费用和各项税费</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（4）包括项目整体验收各项费用。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本项目为综合单价，供应商报价应包含前述全部费用，合同履行期间采购人不再针对本项目另行支付其他费用。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（二）报价方式</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（1）根据各套餐体检项目分别进行报价，供应商报价不能超过任意一个体检套餐项目的控制价，否则作无效响应处理。</w:t>
            </w:r>
          </w:p>
          <w:p>
            <w:pPr>
              <w:adjustRightInd w:val="0"/>
              <w:snapToGrid w:val="0"/>
              <w:spacing w:line="360" w:lineRule="auto"/>
              <w:ind w:firstLine="420" w:firstLineChars="200"/>
              <w:rPr>
                <w:rFonts w:ascii="宋体" w:hAnsi="宋体" w:cs="宋体"/>
              </w:rPr>
            </w:pPr>
            <w:r>
              <w:rPr>
                <w:rFonts w:hint="eastAsia" w:ascii="宋体" w:hAnsi="宋体" w:cs="宋体"/>
                <w:kern w:val="0"/>
                <w:szCs w:val="21"/>
              </w:rPr>
              <w:t>（2）最终以成交套餐单价乘以实际体检人数进行结算。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s="宋体"/>
              </w:rPr>
            </w:pPr>
            <w:r>
              <w:rPr>
                <w:rFonts w:hint="eastAsia" w:ascii="宋体" w:hAnsi="宋体" w:cs="宋体"/>
              </w:rPr>
              <w:t>4</w:t>
            </w:r>
          </w:p>
        </w:tc>
        <w:tc>
          <w:tcPr>
            <w:tcW w:w="9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付款方式</w:t>
            </w:r>
          </w:p>
        </w:tc>
        <w:tc>
          <w:tcPr>
            <w:tcW w:w="75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ascii="宋体" w:hAnsi="宋体" w:cs="宋体"/>
              </w:rPr>
            </w:pPr>
            <w:r>
              <w:rPr>
                <w:rFonts w:hint="eastAsia" w:ascii="宋体" w:hAnsi="宋体" w:cs="宋体"/>
                <w:szCs w:val="21"/>
              </w:rPr>
              <w:t>体检结束，采购人收到所有体检报告、资料后，根据最终核定的体检人数及检查内容据实结算最终的费用，确定结算结果后通过银行对公转账一次性结清费用。付款前，供应商应提供合法合规税务发票，采购人在收到发票后10个工作日内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s="宋体"/>
              </w:rPr>
            </w:pPr>
            <w:r>
              <w:rPr>
                <w:rFonts w:hint="eastAsia" w:ascii="宋体" w:hAnsi="宋体" w:cs="宋体"/>
              </w:rPr>
              <w:t>5</w:t>
            </w:r>
          </w:p>
        </w:tc>
        <w:tc>
          <w:tcPr>
            <w:tcW w:w="977"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ascii="宋体" w:hAnsi="宋体" w:cs="宋体"/>
                <w:szCs w:val="21"/>
              </w:rPr>
            </w:pPr>
            <w:r>
              <w:rPr>
                <w:rFonts w:hint="eastAsia" w:ascii="宋体" w:hAnsi="宋体" w:cs="宋体"/>
                <w:szCs w:val="21"/>
              </w:rPr>
              <w:t>验收方式</w:t>
            </w:r>
          </w:p>
        </w:tc>
        <w:tc>
          <w:tcPr>
            <w:tcW w:w="75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ascii="宋体" w:hAnsi="宋体" w:cs="宋体"/>
                <w:szCs w:val="21"/>
              </w:rPr>
            </w:pPr>
            <w:r>
              <w:rPr>
                <w:rFonts w:hint="eastAsia" w:ascii="宋体" w:hAnsi="宋体" w:cs="宋体"/>
                <w:szCs w:val="21"/>
              </w:rPr>
              <w:t>（1）采购人组织验收。</w:t>
            </w:r>
          </w:p>
          <w:p>
            <w:pPr>
              <w:pStyle w:val="8"/>
              <w:spacing w:line="400" w:lineRule="exact"/>
              <w:rPr>
                <w:rFonts w:ascii="宋体" w:hAnsi="宋体" w:cs="宋体"/>
                <w:szCs w:val="21"/>
              </w:rPr>
            </w:pPr>
            <w:r>
              <w:rPr>
                <w:rFonts w:hint="eastAsia" w:ascii="宋体" w:hAnsi="宋体" w:cs="宋体"/>
                <w:szCs w:val="21"/>
              </w:rPr>
              <w:t>（2）所有服务均严格按磋商文件的</w:t>
            </w:r>
            <w:r>
              <w:rPr>
                <w:rFonts w:hint="eastAsia" w:ascii="宋体" w:hAnsi="宋体" w:cs="宋体"/>
                <w:bCs/>
              </w:rPr>
              <w:t>技术服务内容及要求</w:t>
            </w:r>
            <w:r>
              <w:rPr>
                <w:rFonts w:hint="eastAsia" w:ascii="宋体" w:hAnsi="宋体" w:cs="宋体"/>
                <w:szCs w:val="21"/>
              </w:rPr>
              <w:t>、成交供应商响应和承诺的服务内容等有关标准进行验收，达不到要求的不予验收、结算。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s="宋体"/>
              </w:rPr>
            </w:pPr>
            <w:r>
              <w:rPr>
                <w:rFonts w:hint="eastAsia" w:ascii="宋体" w:hAnsi="宋体" w:cs="宋体"/>
              </w:rPr>
              <w:t>6</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其他要求</w:t>
            </w:r>
          </w:p>
        </w:tc>
        <w:tc>
          <w:tcPr>
            <w:tcW w:w="759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rPr>
            </w:pPr>
            <w:r>
              <w:rPr>
                <w:rFonts w:hint="eastAsia" w:ascii="宋体" w:hAnsi="宋体" w:cs="宋体"/>
              </w:rPr>
              <w:t>1、签订合同后如成交人无法满足采购人服务要求的，视为不履约，采购人有权单方终止合同，另行采购。</w:t>
            </w:r>
          </w:p>
          <w:p>
            <w:pPr>
              <w:spacing w:line="400" w:lineRule="exact"/>
              <w:jc w:val="left"/>
              <w:rPr>
                <w:rFonts w:ascii="宋体" w:hAnsi="宋体" w:cs="宋体"/>
              </w:rPr>
            </w:pPr>
            <w:r>
              <w:rPr>
                <w:rFonts w:hint="eastAsia" w:ascii="宋体" w:hAnsi="宋体" w:cs="宋体"/>
              </w:rPr>
              <w:t>2、供应商可以在响应文件中提供如体检环境、体检服务方案、健康管理服务方案、拟投入项目实施人员、拟投入检测设备、综合实力、业绩等。</w:t>
            </w:r>
          </w:p>
        </w:tc>
      </w:tr>
    </w:tbl>
    <w:p>
      <w:pPr>
        <w:pStyle w:val="8"/>
        <w:spacing w:line="400" w:lineRule="exact"/>
        <w:rPr>
          <w:rFonts w:ascii="宋体" w:hAnsi="宋体" w:cs="宋体"/>
        </w:rPr>
      </w:pPr>
    </w:p>
    <w:p>
      <w:pPr>
        <w:spacing w:line="360" w:lineRule="auto"/>
        <w:ind w:firstLine="630" w:firstLineChars="196"/>
        <w:jc w:val="center"/>
        <w:rPr>
          <w:rFonts w:ascii="宋体" w:hAnsi="宋体" w:cs="宋体"/>
          <w:b/>
          <w:bCs/>
          <w:sz w:val="32"/>
          <w:szCs w:val="32"/>
        </w:rPr>
      </w:pPr>
    </w:p>
    <w:p>
      <w:pPr>
        <w:pStyle w:val="18"/>
        <w:ind w:firstLine="344"/>
        <w:rPr>
          <w:rFonts w:hAnsi="宋体" w:cs="宋体"/>
          <w:color w:val="000000" w:themeColor="text1"/>
          <w14:textFill>
            <w14:solidFill>
              <w14:schemeClr w14:val="tx1"/>
            </w14:solidFill>
          </w14:textFill>
        </w:rPr>
      </w:pPr>
    </w:p>
    <w:p>
      <w:pPr>
        <w:pStyle w:val="8"/>
        <w:rPr>
          <w:color w:val="000000" w:themeColor="text1"/>
          <w14:textFill>
            <w14:solidFill>
              <w14:schemeClr w14:val="tx1"/>
            </w14:solidFill>
          </w14:textFill>
        </w:rPr>
      </w:pPr>
    </w:p>
    <w:sectPr>
      <w:footerReference r:id="rId6"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93C9FB6-8A3F-4F4C-87A0-BC56A385A412}"/>
  </w:font>
  <w:font w:name="Arial">
    <w:panose1 w:val="020B0604020202020204"/>
    <w:charset w:val="01"/>
    <w:family w:val="swiss"/>
    <w:pitch w:val="default"/>
    <w:sig w:usb0="E0002EFF" w:usb1="C000785B" w:usb2="00000009" w:usb3="00000000" w:csb0="400001FF" w:csb1="FFFF0000"/>
    <w:embedRegular r:id="rId2" w:fontKey="{FA94E929-CC29-496E-AB1F-B7A36C6F76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276DF78-69D3-41F7-82D0-95750965801E}"/>
  </w:font>
  <w:font w:name="仿宋_GB2312">
    <w:panose1 w:val="02010609030101010101"/>
    <w:charset w:val="86"/>
    <w:family w:val="modern"/>
    <w:pitch w:val="default"/>
    <w:sig w:usb0="00000001" w:usb1="080E0000" w:usb2="00000000" w:usb3="00000000" w:csb0="00040000" w:csb1="00000000"/>
    <w:embedRegular r:id="rId4" w:fontKey="{E8F7D93E-54D3-42F4-ADF8-61D34C64A28C}"/>
  </w:font>
  <w:font w:name="Calibri Light">
    <w:panose1 w:val="020F0302020204030204"/>
    <w:charset w:val="00"/>
    <w:family w:val="swiss"/>
    <w:pitch w:val="default"/>
    <w:sig w:usb0="E4002EFF" w:usb1="C200247B" w:usb2="00000009" w:usb3="00000000" w:csb0="200001FF" w:csb1="00000000"/>
  </w:font>
  <w:font w:name="方正大标宋简体">
    <w:panose1 w:val="03000509000000000000"/>
    <w:charset w:val="86"/>
    <w:family w:val="script"/>
    <w:pitch w:val="default"/>
    <w:sig w:usb0="00000001" w:usb1="080E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embedRegular r:id="rId5" w:fontKey="{663A572F-3711-4F97-827C-F6E9DD1E3699}"/>
  </w:font>
  <w:font w:name="华文新魏">
    <w:panose1 w:val="02010800040101010101"/>
    <w:charset w:val="86"/>
    <w:family w:val="auto"/>
    <w:pitch w:val="default"/>
    <w:sig w:usb0="00000001" w:usb1="080F0000" w:usb2="00000000" w:usb3="00000000" w:csb0="00040000" w:csb1="00000000"/>
    <w:embedRegular r:id="rId6" w:fontKey="{D77E3E11-C855-4A01-BC1C-0726F5A2A0D1}"/>
  </w:font>
  <w:font w:name="楷体_GB2312">
    <w:altName w:val="楷体"/>
    <w:panose1 w:val="020B0604020202020204"/>
    <w:charset w:val="86"/>
    <w:family w:val="modern"/>
    <w:pitch w:val="default"/>
    <w:sig w:usb0="00000000" w:usb1="00000000" w:usb2="00000000" w:usb3="00000000" w:csb0="00040000" w:csb1="00000000"/>
    <w:embedRegular r:id="rId7" w:fontKey="{28C4CA57-E8C5-4B80-B80D-76DD2378E744}"/>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embedRegular r:id="rId8" w:fontKey="{7DD84A64-F56D-4606-8DDB-D04BF8FFD088}"/>
  </w:font>
  <w:font w:name="仿宋">
    <w:panose1 w:val="02010609060101010101"/>
    <w:charset w:val="86"/>
    <w:family w:val="modern"/>
    <w:pitch w:val="default"/>
    <w:sig w:usb0="800002BF" w:usb1="38CF7CFA" w:usb2="00000016" w:usb3="00000000" w:csb0="00040001" w:csb1="00000000"/>
    <w:embedRegular r:id="rId9" w:fontKey="{773D0DD8-C971-40C9-9DE3-59432075F9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sz w:val="21"/>
                              <w:szCs w:val="21"/>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sz w:val="21"/>
                        <w:szCs w:val="21"/>
                      </w:rPr>
                      <w:t xml:space="preserve">- </w:t>
                    </w:r>
                    <w:r>
                      <w:fldChar w:fldCharType="begin"/>
                    </w:r>
                    <w:r>
                      <w:instrText xml:space="preserve"> PAGE  \* MERGEFORMAT </w:instrText>
                    </w:r>
                    <w:r>
                      <w:fldChar w:fldCharType="separate"/>
                    </w:r>
                    <w:r>
                      <w:t>1</w:t>
                    </w:r>
                    <w: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D348C"/>
    <w:multiLevelType w:val="singleLevel"/>
    <w:tmpl w:val="1F9D348C"/>
    <w:lvl w:ilvl="0" w:tentative="0">
      <w:start w:val="1"/>
      <w:numFmt w:val="decimal"/>
      <w:pStyle w:val="6"/>
      <w:lvlText w:val="%1."/>
      <w:lvlJc w:val="left"/>
      <w:pPr>
        <w:tabs>
          <w:tab w:val="left" w:pos="780"/>
        </w:tabs>
        <w:ind w:left="780" w:hanging="36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24D6055"/>
    <w:multiLevelType w:val="singleLevel"/>
    <w:tmpl w:val="624D6055"/>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c595e5c-c805-4722-b7e5-27b583bf147a"/>
  </w:docVars>
  <w:rsids>
    <w:rsidRoot w:val="1F532328"/>
    <w:rsid w:val="000B4312"/>
    <w:rsid w:val="00114073"/>
    <w:rsid w:val="00123BF2"/>
    <w:rsid w:val="0018099E"/>
    <w:rsid w:val="00235715"/>
    <w:rsid w:val="0023778A"/>
    <w:rsid w:val="00303E50"/>
    <w:rsid w:val="00370E0A"/>
    <w:rsid w:val="00404065"/>
    <w:rsid w:val="00445C0F"/>
    <w:rsid w:val="00460FAC"/>
    <w:rsid w:val="00687F72"/>
    <w:rsid w:val="00690FA3"/>
    <w:rsid w:val="00792572"/>
    <w:rsid w:val="0079670B"/>
    <w:rsid w:val="00835C7A"/>
    <w:rsid w:val="008C027A"/>
    <w:rsid w:val="008C2B5F"/>
    <w:rsid w:val="008D4C5C"/>
    <w:rsid w:val="00A135F0"/>
    <w:rsid w:val="00BB56DC"/>
    <w:rsid w:val="00BC68D3"/>
    <w:rsid w:val="00CF25F3"/>
    <w:rsid w:val="00DB11E3"/>
    <w:rsid w:val="00E133B9"/>
    <w:rsid w:val="00E829D3"/>
    <w:rsid w:val="00E84E8C"/>
    <w:rsid w:val="00E97F44"/>
    <w:rsid w:val="00F8304E"/>
    <w:rsid w:val="00FB1AD3"/>
    <w:rsid w:val="01437C9C"/>
    <w:rsid w:val="0168098E"/>
    <w:rsid w:val="023A241F"/>
    <w:rsid w:val="025C5667"/>
    <w:rsid w:val="026F607A"/>
    <w:rsid w:val="028A3742"/>
    <w:rsid w:val="028D5698"/>
    <w:rsid w:val="02901323"/>
    <w:rsid w:val="02A739E9"/>
    <w:rsid w:val="02E9145B"/>
    <w:rsid w:val="03443858"/>
    <w:rsid w:val="0365214C"/>
    <w:rsid w:val="037C3CB6"/>
    <w:rsid w:val="03C77E39"/>
    <w:rsid w:val="03CF75C5"/>
    <w:rsid w:val="04141C23"/>
    <w:rsid w:val="041D6793"/>
    <w:rsid w:val="044E4C36"/>
    <w:rsid w:val="04C94B6F"/>
    <w:rsid w:val="054C0AC4"/>
    <w:rsid w:val="057A11EA"/>
    <w:rsid w:val="059A5C2E"/>
    <w:rsid w:val="05F43A65"/>
    <w:rsid w:val="0616597F"/>
    <w:rsid w:val="061A0889"/>
    <w:rsid w:val="062666B1"/>
    <w:rsid w:val="067D77AC"/>
    <w:rsid w:val="069B3A09"/>
    <w:rsid w:val="07283101"/>
    <w:rsid w:val="07740940"/>
    <w:rsid w:val="081E028C"/>
    <w:rsid w:val="08324B8B"/>
    <w:rsid w:val="08564759"/>
    <w:rsid w:val="086A6579"/>
    <w:rsid w:val="0873526C"/>
    <w:rsid w:val="08742A60"/>
    <w:rsid w:val="089F16D4"/>
    <w:rsid w:val="08AA23AF"/>
    <w:rsid w:val="08C2594B"/>
    <w:rsid w:val="08C96150"/>
    <w:rsid w:val="09064BCC"/>
    <w:rsid w:val="095962AF"/>
    <w:rsid w:val="09B07992"/>
    <w:rsid w:val="09E14548"/>
    <w:rsid w:val="09E437D2"/>
    <w:rsid w:val="0A4C69F3"/>
    <w:rsid w:val="0A664304"/>
    <w:rsid w:val="0BB57D82"/>
    <w:rsid w:val="0BBF7555"/>
    <w:rsid w:val="0C0D783A"/>
    <w:rsid w:val="0C45142A"/>
    <w:rsid w:val="0C490758"/>
    <w:rsid w:val="0C7D4CCB"/>
    <w:rsid w:val="0D246BD4"/>
    <w:rsid w:val="0DB859E5"/>
    <w:rsid w:val="0DD00B0A"/>
    <w:rsid w:val="0DE35258"/>
    <w:rsid w:val="0E1F1149"/>
    <w:rsid w:val="0E2D5552"/>
    <w:rsid w:val="0E9E6512"/>
    <w:rsid w:val="0EB724DE"/>
    <w:rsid w:val="0EE7337D"/>
    <w:rsid w:val="0F5C13BE"/>
    <w:rsid w:val="0F6E6F8A"/>
    <w:rsid w:val="0F7B7FCB"/>
    <w:rsid w:val="0FB06A66"/>
    <w:rsid w:val="0FDA6776"/>
    <w:rsid w:val="0FDF3286"/>
    <w:rsid w:val="0FFE195E"/>
    <w:rsid w:val="100A02F0"/>
    <w:rsid w:val="1040234E"/>
    <w:rsid w:val="10606175"/>
    <w:rsid w:val="107E4F25"/>
    <w:rsid w:val="10853E2D"/>
    <w:rsid w:val="10DA6A48"/>
    <w:rsid w:val="11243FFF"/>
    <w:rsid w:val="1197695F"/>
    <w:rsid w:val="11991213"/>
    <w:rsid w:val="11EB4161"/>
    <w:rsid w:val="12045226"/>
    <w:rsid w:val="12502219"/>
    <w:rsid w:val="13343592"/>
    <w:rsid w:val="13645777"/>
    <w:rsid w:val="13D55C52"/>
    <w:rsid w:val="13EC5F71"/>
    <w:rsid w:val="13F60B9E"/>
    <w:rsid w:val="13F87E09"/>
    <w:rsid w:val="142065B7"/>
    <w:rsid w:val="148D32B1"/>
    <w:rsid w:val="150E204E"/>
    <w:rsid w:val="15420686"/>
    <w:rsid w:val="15783F61"/>
    <w:rsid w:val="157D1EDF"/>
    <w:rsid w:val="15C2342E"/>
    <w:rsid w:val="16334A9A"/>
    <w:rsid w:val="163D2F91"/>
    <w:rsid w:val="165E2C13"/>
    <w:rsid w:val="16963E20"/>
    <w:rsid w:val="17363473"/>
    <w:rsid w:val="177D7A23"/>
    <w:rsid w:val="184E713F"/>
    <w:rsid w:val="187C6219"/>
    <w:rsid w:val="189A3424"/>
    <w:rsid w:val="18D2614B"/>
    <w:rsid w:val="18E23945"/>
    <w:rsid w:val="18EE62E8"/>
    <w:rsid w:val="190D755C"/>
    <w:rsid w:val="198033E4"/>
    <w:rsid w:val="19811766"/>
    <w:rsid w:val="19D8008E"/>
    <w:rsid w:val="1A1A235E"/>
    <w:rsid w:val="1AB23A71"/>
    <w:rsid w:val="1ACB4B33"/>
    <w:rsid w:val="1B2865CE"/>
    <w:rsid w:val="1B317922"/>
    <w:rsid w:val="1B4B2F13"/>
    <w:rsid w:val="1B716E19"/>
    <w:rsid w:val="1B97254D"/>
    <w:rsid w:val="1BA64C58"/>
    <w:rsid w:val="1BA775D9"/>
    <w:rsid w:val="1BA8168E"/>
    <w:rsid w:val="1BBD2F52"/>
    <w:rsid w:val="1BD25A4D"/>
    <w:rsid w:val="1C0D3B4C"/>
    <w:rsid w:val="1C735482"/>
    <w:rsid w:val="1CA67605"/>
    <w:rsid w:val="1CC25AC1"/>
    <w:rsid w:val="1D1722B1"/>
    <w:rsid w:val="1D1E53EE"/>
    <w:rsid w:val="1D5523BA"/>
    <w:rsid w:val="1D9C4564"/>
    <w:rsid w:val="1D9E208B"/>
    <w:rsid w:val="1DA653E3"/>
    <w:rsid w:val="1E3D1FA5"/>
    <w:rsid w:val="1E4550A8"/>
    <w:rsid w:val="1E5F4ADD"/>
    <w:rsid w:val="1E6A4318"/>
    <w:rsid w:val="1E733517"/>
    <w:rsid w:val="1E8B1295"/>
    <w:rsid w:val="1F3C5C4A"/>
    <w:rsid w:val="1F532328"/>
    <w:rsid w:val="1FC529A2"/>
    <w:rsid w:val="1FE55012"/>
    <w:rsid w:val="1FFC12EA"/>
    <w:rsid w:val="20234AC9"/>
    <w:rsid w:val="204372D7"/>
    <w:rsid w:val="20920166"/>
    <w:rsid w:val="21582E98"/>
    <w:rsid w:val="217224C0"/>
    <w:rsid w:val="217C0935"/>
    <w:rsid w:val="21B93937"/>
    <w:rsid w:val="22001928"/>
    <w:rsid w:val="227C2DBC"/>
    <w:rsid w:val="22C27D22"/>
    <w:rsid w:val="23183EF8"/>
    <w:rsid w:val="232A2389"/>
    <w:rsid w:val="23367F2F"/>
    <w:rsid w:val="235F55D1"/>
    <w:rsid w:val="23671D53"/>
    <w:rsid w:val="236F6BEA"/>
    <w:rsid w:val="2393640A"/>
    <w:rsid w:val="24547E1C"/>
    <w:rsid w:val="250F1AC0"/>
    <w:rsid w:val="253A7CD4"/>
    <w:rsid w:val="254B5296"/>
    <w:rsid w:val="25744EEE"/>
    <w:rsid w:val="257C5ABF"/>
    <w:rsid w:val="267939E9"/>
    <w:rsid w:val="26E6071B"/>
    <w:rsid w:val="26FE46F6"/>
    <w:rsid w:val="271635D9"/>
    <w:rsid w:val="276B33D5"/>
    <w:rsid w:val="27EA5242"/>
    <w:rsid w:val="28245882"/>
    <w:rsid w:val="283755B5"/>
    <w:rsid w:val="28EA7C93"/>
    <w:rsid w:val="29693E94"/>
    <w:rsid w:val="29916F47"/>
    <w:rsid w:val="29E066A4"/>
    <w:rsid w:val="2A012D96"/>
    <w:rsid w:val="2ACA5218"/>
    <w:rsid w:val="2AD92C0B"/>
    <w:rsid w:val="2B02634F"/>
    <w:rsid w:val="2B073965"/>
    <w:rsid w:val="2B096C05"/>
    <w:rsid w:val="2B2160A9"/>
    <w:rsid w:val="2B5F6D63"/>
    <w:rsid w:val="2B6B4498"/>
    <w:rsid w:val="2BB535F4"/>
    <w:rsid w:val="2BF019E9"/>
    <w:rsid w:val="2C0E56CF"/>
    <w:rsid w:val="2C134F28"/>
    <w:rsid w:val="2DCC67A0"/>
    <w:rsid w:val="2DDD3C47"/>
    <w:rsid w:val="2E960B5C"/>
    <w:rsid w:val="2EC76F67"/>
    <w:rsid w:val="2F081A5A"/>
    <w:rsid w:val="2F2D0695"/>
    <w:rsid w:val="2FC46791"/>
    <w:rsid w:val="2FE86D2A"/>
    <w:rsid w:val="2FF27FE5"/>
    <w:rsid w:val="30B637BB"/>
    <w:rsid w:val="30CC1ABC"/>
    <w:rsid w:val="30F7043E"/>
    <w:rsid w:val="31592A40"/>
    <w:rsid w:val="316E6CE8"/>
    <w:rsid w:val="31A37CDA"/>
    <w:rsid w:val="31BA7618"/>
    <w:rsid w:val="320973E2"/>
    <w:rsid w:val="324D417C"/>
    <w:rsid w:val="342033A2"/>
    <w:rsid w:val="343541A1"/>
    <w:rsid w:val="343D21A6"/>
    <w:rsid w:val="34BE6306"/>
    <w:rsid w:val="35134013"/>
    <w:rsid w:val="353A3563"/>
    <w:rsid w:val="3567045E"/>
    <w:rsid w:val="357C7BE5"/>
    <w:rsid w:val="358154ED"/>
    <w:rsid w:val="359A7184"/>
    <w:rsid w:val="35DB6CDC"/>
    <w:rsid w:val="35E52AF5"/>
    <w:rsid w:val="35EB3E83"/>
    <w:rsid w:val="36464E91"/>
    <w:rsid w:val="364B02AA"/>
    <w:rsid w:val="36533F02"/>
    <w:rsid w:val="36EC7A7E"/>
    <w:rsid w:val="375B7008"/>
    <w:rsid w:val="376D0FF4"/>
    <w:rsid w:val="37F039D3"/>
    <w:rsid w:val="39521A13"/>
    <w:rsid w:val="396D2501"/>
    <w:rsid w:val="39A90E92"/>
    <w:rsid w:val="39C54928"/>
    <w:rsid w:val="39FC665F"/>
    <w:rsid w:val="3A731158"/>
    <w:rsid w:val="3ABB2387"/>
    <w:rsid w:val="3B1672AC"/>
    <w:rsid w:val="3B22232D"/>
    <w:rsid w:val="3B3910EA"/>
    <w:rsid w:val="3B87597C"/>
    <w:rsid w:val="3C460065"/>
    <w:rsid w:val="3C8B21EA"/>
    <w:rsid w:val="3C970BE5"/>
    <w:rsid w:val="3D0221DE"/>
    <w:rsid w:val="3D3E2AEA"/>
    <w:rsid w:val="3D426E1B"/>
    <w:rsid w:val="3D8E0E1C"/>
    <w:rsid w:val="3E8A248B"/>
    <w:rsid w:val="3EF72DDD"/>
    <w:rsid w:val="3F741222"/>
    <w:rsid w:val="3FBC4F17"/>
    <w:rsid w:val="3FC21CF8"/>
    <w:rsid w:val="3FC763E7"/>
    <w:rsid w:val="402E6E46"/>
    <w:rsid w:val="40446696"/>
    <w:rsid w:val="40774A6A"/>
    <w:rsid w:val="40C1658B"/>
    <w:rsid w:val="40DB1AE6"/>
    <w:rsid w:val="410F2CCB"/>
    <w:rsid w:val="41167912"/>
    <w:rsid w:val="413268CA"/>
    <w:rsid w:val="41362456"/>
    <w:rsid w:val="41EA4FEF"/>
    <w:rsid w:val="4236595D"/>
    <w:rsid w:val="42593669"/>
    <w:rsid w:val="42A17DA3"/>
    <w:rsid w:val="42B9333F"/>
    <w:rsid w:val="42DB0A37"/>
    <w:rsid w:val="42ED2FE9"/>
    <w:rsid w:val="435C6F85"/>
    <w:rsid w:val="438356FB"/>
    <w:rsid w:val="43894EAB"/>
    <w:rsid w:val="438D70F0"/>
    <w:rsid w:val="4394121C"/>
    <w:rsid w:val="43A81938"/>
    <w:rsid w:val="43F15C0E"/>
    <w:rsid w:val="443A10F9"/>
    <w:rsid w:val="443A5C31"/>
    <w:rsid w:val="446E1F07"/>
    <w:rsid w:val="44706678"/>
    <w:rsid w:val="44C304A5"/>
    <w:rsid w:val="44F763A1"/>
    <w:rsid w:val="45414D79"/>
    <w:rsid w:val="45BC281D"/>
    <w:rsid w:val="46E40FDD"/>
    <w:rsid w:val="46E6317A"/>
    <w:rsid w:val="47384653"/>
    <w:rsid w:val="477A0590"/>
    <w:rsid w:val="480F236C"/>
    <w:rsid w:val="491F48AE"/>
    <w:rsid w:val="496F0BFB"/>
    <w:rsid w:val="4A364378"/>
    <w:rsid w:val="4A742241"/>
    <w:rsid w:val="4AA11545"/>
    <w:rsid w:val="4AAA17BF"/>
    <w:rsid w:val="4ADB7BCB"/>
    <w:rsid w:val="4B84756E"/>
    <w:rsid w:val="4C362BBE"/>
    <w:rsid w:val="4C442D3C"/>
    <w:rsid w:val="4C636A09"/>
    <w:rsid w:val="4C7C718B"/>
    <w:rsid w:val="4CA34957"/>
    <w:rsid w:val="4CB24DE4"/>
    <w:rsid w:val="4CC528E0"/>
    <w:rsid w:val="4CF67957"/>
    <w:rsid w:val="4D075F85"/>
    <w:rsid w:val="4D9547ED"/>
    <w:rsid w:val="4DC10F6A"/>
    <w:rsid w:val="4DFF641F"/>
    <w:rsid w:val="4E6A1991"/>
    <w:rsid w:val="4E915170"/>
    <w:rsid w:val="4EB1136E"/>
    <w:rsid w:val="4F8A7C69"/>
    <w:rsid w:val="4FD3359A"/>
    <w:rsid w:val="4FDB5D26"/>
    <w:rsid w:val="50131BB5"/>
    <w:rsid w:val="505C4CBF"/>
    <w:rsid w:val="505D5440"/>
    <w:rsid w:val="50642410"/>
    <w:rsid w:val="50C848B0"/>
    <w:rsid w:val="50DB0924"/>
    <w:rsid w:val="515952C4"/>
    <w:rsid w:val="51D04201"/>
    <w:rsid w:val="520914C1"/>
    <w:rsid w:val="528B1ED6"/>
    <w:rsid w:val="53422EDD"/>
    <w:rsid w:val="53771717"/>
    <w:rsid w:val="539024C6"/>
    <w:rsid w:val="53BD6A07"/>
    <w:rsid w:val="53DF697E"/>
    <w:rsid w:val="53F60DA9"/>
    <w:rsid w:val="545C3B2A"/>
    <w:rsid w:val="54822AF9"/>
    <w:rsid w:val="54844A61"/>
    <w:rsid w:val="54876745"/>
    <w:rsid w:val="54A63070"/>
    <w:rsid w:val="55425416"/>
    <w:rsid w:val="556F5103"/>
    <w:rsid w:val="558B15C3"/>
    <w:rsid w:val="55A27C63"/>
    <w:rsid w:val="55DB13C7"/>
    <w:rsid w:val="56075D18"/>
    <w:rsid w:val="57363B57"/>
    <w:rsid w:val="580C520A"/>
    <w:rsid w:val="581862F5"/>
    <w:rsid w:val="581F37ED"/>
    <w:rsid w:val="587D4566"/>
    <w:rsid w:val="58836D63"/>
    <w:rsid w:val="58CE0DD8"/>
    <w:rsid w:val="58EB36CF"/>
    <w:rsid w:val="593B4656"/>
    <w:rsid w:val="59A85A64"/>
    <w:rsid w:val="59D668DE"/>
    <w:rsid w:val="59E37255"/>
    <w:rsid w:val="59F960C7"/>
    <w:rsid w:val="59FD5DAF"/>
    <w:rsid w:val="5A257EA1"/>
    <w:rsid w:val="5A296BA4"/>
    <w:rsid w:val="5A5E586D"/>
    <w:rsid w:val="5A75462C"/>
    <w:rsid w:val="5A9F0C15"/>
    <w:rsid w:val="5AA02A87"/>
    <w:rsid w:val="5B0F08C1"/>
    <w:rsid w:val="5B476268"/>
    <w:rsid w:val="5B9067AF"/>
    <w:rsid w:val="5B93074A"/>
    <w:rsid w:val="5B987D76"/>
    <w:rsid w:val="5C1D6295"/>
    <w:rsid w:val="5C367357"/>
    <w:rsid w:val="5C7C3FC4"/>
    <w:rsid w:val="5C990449"/>
    <w:rsid w:val="5CA65C42"/>
    <w:rsid w:val="5D080A3C"/>
    <w:rsid w:val="5D491CD1"/>
    <w:rsid w:val="5D812584"/>
    <w:rsid w:val="5DAD57FA"/>
    <w:rsid w:val="5DD37888"/>
    <w:rsid w:val="5DF105F5"/>
    <w:rsid w:val="5DF7654D"/>
    <w:rsid w:val="5E374FFA"/>
    <w:rsid w:val="5F1119B5"/>
    <w:rsid w:val="5F8345FD"/>
    <w:rsid w:val="5F8F7324"/>
    <w:rsid w:val="5F954394"/>
    <w:rsid w:val="5FB233BD"/>
    <w:rsid w:val="60362D2C"/>
    <w:rsid w:val="60433DF0"/>
    <w:rsid w:val="605204D7"/>
    <w:rsid w:val="61450ABA"/>
    <w:rsid w:val="6155662A"/>
    <w:rsid w:val="61573CB5"/>
    <w:rsid w:val="6166248C"/>
    <w:rsid w:val="618A277C"/>
    <w:rsid w:val="61CD6067"/>
    <w:rsid w:val="620B18AC"/>
    <w:rsid w:val="6236151B"/>
    <w:rsid w:val="624F6ACD"/>
    <w:rsid w:val="628A642F"/>
    <w:rsid w:val="62D36707"/>
    <w:rsid w:val="633260A7"/>
    <w:rsid w:val="63666773"/>
    <w:rsid w:val="63AD0236"/>
    <w:rsid w:val="63B53257"/>
    <w:rsid w:val="64191A38"/>
    <w:rsid w:val="64234664"/>
    <w:rsid w:val="64314924"/>
    <w:rsid w:val="64333820"/>
    <w:rsid w:val="644876A9"/>
    <w:rsid w:val="64D111CE"/>
    <w:rsid w:val="652660BF"/>
    <w:rsid w:val="657054C6"/>
    <w:rsid w:val="65A532B3"/>
    <w:rsid w:val="662E34E2"/>
    <w:rsid w:val="666D15F4"/>
    <w:rsid w:val="66A870A3"/>
    <w:rsid w:val="66D9725C"/>
    <w:rsid w:val="67102900"/>
    <w:rsid w:val="678371C8"/>
    <w:rsid w:val="678A0557"/>
    <w:rsid w:val="67B72CBC"/>
    <w:rsid w:val="67E01FDE"/>
    <w:rsid w:val="6816132D"/>
    <w:rsid w:val="68460921"/>
    <w:rsid w:val="68865D4D"/>
    <w:rsid w:val="69092CBD"/>
    <w:rsid w:val="69307669"/>
    <w:rsid w:val="698915CE"/>
    <w:rsid w:val="69C80273"/>
    <w:rsid w:val="6B0D5D34"/>
    <w:rsid w:val="6B4C44A1"/>
    <w:rsid w:val="6B6A4927"/>
    <w:rsid w:val="6B737C7F"/>
    <w:rsid w:val="6BB44FCE"/>
    <w:rsid w:val="6C953C26"/>
    <w:rsid w:val="6CD65038"/>
    <w:rsid w:val="6CFF5543"/>
    <w:rsid w:val="6D1C60F5"/>
    <w:rsid w:val="6D6616EC"/>
    <w:rsid w:val="6D664C9A"/>
    <w:rsid w:val="6D6655C2"/>
    <w:rsid w:val="6D67780D"/>
    <w:rsid w:val="6D6A39CF"/>
    <w:rsid w:val="6D8812C0"/>
    <w:rsid w:val="6DB17E22"/>
    <w:rsid w:val="6E106E7B"/>
    <w:rsid w:val="6E1B015A"/>
    <w:rsid w:val="6E2039C3"/>
    <w:rsid w:val="6E231232"/>
    <w:rsid w:val="6E3557E7"/>
    <w:rsid w:val="6E462541"/>
    <w:rsid w:val="6E46471F"/>
    <w:rsid w:val="6E4E22DE"/>
    <w:rsid w:val="6E5B49FB"/>
    <w:rsid w:val="6F8D6E36"/>
    <w:rsid w:val="6FB84429"/>
    <w:rsid w:val="6FF3138F"/>
    <w:rsid w:val="6FFE6E86"/>
    <w:rsid w:val="705C33D8"/>
    <w:rsid w:val="706A4EA7"/>
    <w:rsid w:val="708B39C8"/>
    <w:rsid w:val="70A13CE9"/>
    <w:rsid w:val="70AF2885"/>
    <w:rsid w:val="70BA7318"/>
    <w:rsid w:val="70E91461"/>
    <w:rsid w:val="711506CD"/>
    <w:rsid w:val="71775B85"/>
    <w:rsid w:val="719A1ED8"/>
    <w:rsid w:val="71D30F26"/>
    <w:rsid w:val="720A62E0"/>
    <w:rsid w:val="720B478A"/>
    <w:rsid w:val="72244EA1"/>
    <w:rsid w:val="722D66AE"/>
    <w:rsid w:val="72334B5B"/>
    <w:rsid w:val="724F4877"/>
    <w:rsid w:val="72865006"/>
    <w:rsid w:val="72AC7F1B"/>
    <w:rsid w:val="73102258"/>
    <w:rsid w:val="733D06EC"/>
    <w:rsid w:val="73880040"/>
    <w:rsid w:val="73DD4830"/>
    <w:rsid w:val="740E252B"/>
    <w:rsid w:val="747E38B9"/>
    <w:rsid w:val="74A010F5"/>
    <w:rsid w:val="74A9347B"/>
    <w:rsid w:val="74D6127F"/>
    <w:rsid w:val="74FC6453"/>
    <w:rsid w:val="757F36C5"/>
    <w:rsid w:val="75ED4AD2"/>
    <w:rsid w:val="76285972"/>
    <w:rsid w:val="76360272"/>
    <w:rsid w:val="77784870"/>
    <w:rsid w:val="77BB5C49"/>
    <w:rsid w:val="784E5D7C"/>
    <w:rsid w:val="7872306D"/>
    <w:rsid w:val="78BB0EB8"/>
    <w:rsid w:val="7903410B"/>
    <w:rsid w:val="79061118"/>
    <w:rsid w:val="79AD6A6C"/>
    <w:rsid w:val="79AF5F00"/>
    <w:rsid w:val="79C773E8"/>
    <w:rsid w:val="79DA6E2C"/>
    <w:rsid w:val="7A0F500C"/>
    <w:rsid w:val="7A684CCF"/>
    <w:rsid w:val="7A727144"/>
    <w:rsid w:val="7AB864FF"/>
    <w:rsid w:val="7B114DBF"/>
    <w:rsid w:val="7B7A6E08"/>
    <w:rsid w:val="7B7B66DC"/>
    <w:rsid w:val="7C165D70"/>
    <w:rsid w:val="7C727ADF"/>
    <w:rsid w:val="7C8F5CB7"/>
    <w:rsid w:val="7D82494C"/>
    <w:rsid w:val="7DBB54B6"/>
    <w:rsid w:val="7DCE51E9"/>
    <w:rsid w:val="7E156974"/>
    <w:rsid w:val="7E5B4754"/>
    <w:rsid w:val="7E8835EA"/>
    <w:rsid w:val="7F1234F5"/>
    <w:rsid w:val="7F2B7E15"/>
    <w:rsid w:val="7FC248DA"/>
    <w:rsid w:val="7FF6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annotation text"/>
    <w:basedOn w:val="1"/>
    <w:link w:val="38"/>
    <w:qFormat/>
    <w:uiPriority w:val="0"/>
    <w:pPr>
      <w:jc w:val="left"/>
    </w:pPr>
  </w:style>
  <w:style w:type="paragraph" w:styleId="8">
    <w:name w:val="Body Text"/>
    <w:basedOn w:val="1"/>
    <w:next w:val="9"/>
    <w:qFormat/>
    <w:uiPriority w:val="1"/>
    <w:rPr>
      <w:b/>
      <w:szCs w:val="24"/>
    </w:rPr>
  </w:style>
  <w:style w:type="paragraph" w:styleId="9">
    <w:name w:val="Title"/>
    <w:basedOn w:val="1"/>
    <w:next w:val="1"/>
    <w:qFormat/>
    <w:uiPriority w:val="10"/>
    <w:pPr>
      <w:spacing w:before="240" w:after="60"/>
      <w:jc w:val="center"/>
      <w:outlineLvl w:val="0"/>
    </w:pPr>
    <w:rPr>
      <w:rFonts w:ascii="Calibri Light" w:hAnsi="Calibri Light"/>
      <w:b/>
      <w:bCs/>
      <w:sz w:val="32"/>
      <w:szCs w:val="32"/>
    </w:rPr>
  </w:style>
  <w:style w:type="paragraph" w:styleId="10">
    <w:name w:val="Plain Text"/>
    <w:basedOn w:val="1"/>
    <w:next w:val="1"/>
    <w:unhideWhenUsed/>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7"/>
    <w:next w:val="7"/>
    <w:link w:val="39"/>
    <w:qFormat/>
    <w:uiPriority w:val="0"/>
    <w:rPr>
      <w:b/>
      <w:bCs/>
    </w:rPr>
  </w:style>
  <w:style w:type="paragraph" w:styleId="17">
    <w:name w:val="Body Text First Indent"/>
    <w:basedOn w:val="8"/>
    <w:qFormat/>
    <w:uiPriority w:val="99"/>
    <w:pPr>
      <w:ind w:firstLine="100" w:firstLineChars="100"/>
    </w:pPr>
  </w:style>
  <w:style w:type="paragraph" w:styleId="18">
    <w:name w:val="Body Text First Indent 2"/>
    <w:basedOn w:val="1"/>
    <w:qFormat/>
    <w:uiPriority w:val="0"/>
    <w:pPr>
      <w:spacing w:after="120"/>
      <w:ind w:left="420" w:leftChars="200" w:firstLine="420" w:firstLineChars="200"/>
    </w:pPr>
    <w:rPr>
      <w:rFonts w:ascii="宋体" w:hAnsi="Courier New"/>
      <w:spacing w:val="-4"/>
      <w:sz w:val="18"/>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character" w:styleId="23">
    <w:name w:val="Emphasis"/>
    <w:basedOn w:val="21"/>
    <w:qFormat/>
    <w:uiPriority w:val="0"/>
    <w:rPr>
      <w:i/>
    </w:rPr>
  </w:style>
  <w:style w:type="character" w:styleId="24">
    <w:name w:val="Hyperlink"/>
    <w:unhideWhenUsed/>
    <w:qFormat/>
    <w:uiPriority w:val="99"/>
    <w:rPr>
      <w:color w:val="0000FF"/>
      <w:u w:val="single"/>
    </w:rPr>
  </w:style>
  <w:style w:type="character" w:styleId="25">
    <w:name w:val="annotation reference"/>
    <w:basedOn w:val="21"/>
    <w:qFormat/>
    <w:uiPriority w:val="0"/>
    <w:rPr>
      <w:sz w:val="21"/>
      <w:szCs w:val="21"/>
    </w:rPr>
  </w:style>
  <w:style w:type="paragraph" w:customStyle="1" w:styleId="26">
    <w:name w:val="标题 5（有编号）（绿盟科技）"/>
    <w:basedOn w:val="1"/>
    <w:next w:val="27"/>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9">
    <w:name w:val="null3"/>
    <w:qFormat/>
    <w:uiPriority w:val="0"/>
    <w:rPr>
      <w:rFonts w:hint="eastAsia" w:ascii="Calibri" w:hAnsi="Calibri" w:eastAsia="宋体" w:cs="Times New Roman"/>
      <w:lang w:val="en-US" w:eastAsia="zh-CN" w:bidi="ar-SA"/>
    </w:rPr>
  </w:style>
  <w:style w:type="paragraph" w:customStyle="1" w:styleId="30">
    <w:name w:val="样式1"/>
    <w:basedOn w:val="1"/>
    <w:qFormat/>
    <w:uiPriority w:val="0"/>
    <w:pPr>
      <w:jc w:val="center"/>
    </w:pPr>
    <w:rPr>
      <w:rFonts w:eastAsia="方正大标宋简体"/>
      <w:sz w:val="52"/>
    </w:rPr>
  </w:style>
  <w:style w:type="paragraph" w:customStyle="1" w:styleId="3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32">
    <w:name w:val="Body text|1"/>
    <w:basedOn w:val="1"/>
    <w:qFormat/>
    <w:uiPriority w:val="0"/>
    <w:pPr>
      <w:spacing w:after="140" w:line="451" w:lineRule="auto"/>
    </w:pPr>
    <w:rPr>
      <w:rFonts w:ascii="宋体" w:hAnsi="宋体" w:cs="宋体"/>
      <w:sz w:val="17"/>
      <w:szCs w:val="17"/>
      <w:lang w:val="zh-TW" w:eastAsia="zh-TW" w:bidi="zh-TW"/>
    </w:rPr>
  </w:style>
  <w:style w:type="character" w:customStyle="1" w:styleId="33">
    <w:name w:val="标题 1 字符"/>
    <w:link w:val="2"/>
    <w:qFormat/>
    <w:uiPriority w:val="0"/>
    <w:rPr>
      <w:rFonts w:hint="eastAsia" w:ascii="宋体" w:hAnsi="宋体" w:eastAsia="宋体" w:cs="宋体"/>
      <w:b/>
      <w:bCs/>
      <w:kern w:val="44"/>
      <w:sz w:val="48"/>
      <w:szCs w:val="48"/>
      <w:lang w:val="en-US" w:eastAsia="zh-CN" w:bidi="ar"/>
    </w:rPr>
  </w:style>
  <w:style w:type="paragraph" w:customStyle="1" w:styleId="34">
    <w:name w:val="Table Text"/>
    <w:basedOn w:val="1"/>
    <w:semiHidden/>
    <w:qFormat/>
    <w:uiPriority w:val="0"/>
    <w:rPr>
      <w:rFonts w:ascii="宋体" w:hAnsi="宋体" w:cs="宋体"/>
      <w:sz w:val="20"/>
      <w:szCs w:val="20"/>
      <w:lang w:eastAsia="en-US"/>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font21"/>
    <w:basedOn w:val="21"/>
    <w:qFormat/>
    <w:uiPriority w:val="0"/>
    <w:rPr>
      <w:rFonts w:hint="eastAsia" w:ascii="宋体" w:hAnsi="宋体" w:eastAsia="宋体" w:cs="宋体"/>
      <w:b/>
      <w:bCs/>
      <w:color w:val="000000"/>
      <w:sz w:val="28"/>
      <w:szCs w:val="28"/>
      <w:u w:val="none"/>
    </w:rPr>
  </w:style>
  <w:style w:type="paragraph" w:customStyle="1" w:styleId="37">
    <w:name w:val="修订1"/>
    <w:hidden/>
    <w:unhideWhenUsed/>
    <w:qFormat/>
    <w:uiPriority w:val="99"/>
    <w:rPr>
      <w:rFonts w:ascii="Calibri" w:hAnsi="Calibri" w:eastAsia="宋体" w:cs="Times New Roman"/>
      <w:kern w:val="2"/>
      <w:sz w:val="21"/>
      <w:szCs w:val="22"/>
      <w:lang w:val="en-US" w:eastAsia="zh-CN" w:bidi="ar-SA"/>
    </w:rPr>
  </w:style>
  <w:style w:type="character" w:customStyle="1" w:styleId="38">
    <w:name w:val="批注文字 字符"/>
    <w:basedOn w:val="21"/>
    <w:link w:val="7"/>
    <w:qFormat/>
    <w:uiPriority w:val="0"/>
    <w:rPr>
      <w:rFonts w:ascii="Calibri" w:hAnsi="Calibri"/>
      <w:kern w:val="2"/>
      <w:sz w:val="21"/>
      <w:szCs w:val="22"/>
    </w:rPr>
  </w:style>
  <w:style w:type="character" w:customStyle="1" w:styleId="39">
    <w:name w:val="批注主题 字符"/>
    <w:basedOn w:val="38"/>
    <w:link w:val="16"/>
    <w:qFormat/>
    <w:uiPriority w:val="0"/>
    <w:rPr>
      <w:rFonts w:ascii="Calibri" w:hAnsi="Calibri"/>
      <w:b/>
      <w:bCs/>
      <w:kern w:val="2"/>
      <w:sz w:val="21"/>
      <w:szCs w:val="22"/>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0"/>
      <w:szCs w:val="32"/>
      <w:lang w:eastAsia="en-US"/>
    </w:rPr>
  </w:style>
  <w:style w:type="character" w:customStyle="1" w:styleId="41">
    <w:name w:val="font91"/>
    <w:basedOn w:val="21"/>
    <w:qFormat/>
    <w:uiPriority w:val="0"/>
    <w:rPr>
      <w:rFonts w:hint="eastAsia" w:ascii="黑体" w:hAnsi="宋体" w:eastAsia="黑体" w:cs="黑体"/>
      <w:color w:val="000000"/>
      <w:sz w:val="21"/>
      <w:szCs w:val="21"/>
      <w:u w:val="none"/>
    </w:rPr>
  </w:style>
  <w:style w:type="character" w:customStyle="1" w:styleId="42">
    <w:name w:val="font11"/>
    <w:basedOn w:val="21"/>
    <w:qFormat/>
    <w:uiPriority w:val="0"/>
    <w:rPr>
      <w:rFonts w:hint="eastAsia" w:ascii="黑体" w:hAnsi="宋体" w:eastAsia="黑体" w:cs="黑体"/>
      <w:b/>
      <w:bCs/>
      <w:color w:val="000000"/>
      <w:sz w:val="36"/>
      <w:szCs w:val="36"/>
      <w:u w:val="none"/>
    </w:rPr>
  </w:style>
  <w:style w:type="character" w:customStyle="1" w:styleId="43">
    <w:name w:val="font81"/>
    <w:basedOn w:val="21"/>
    <w:qFormat/>
    <w:uiPriority w:val="0"/>
    <w:rPr>
      <w:rFonts w:hint="eastAsia" w:ascii="黑体" w:hAnsi="宋体" w:eastAsia="黑体" w:cs="黑体"/>
      <w:color w:val="000000"/>
      <w:sz w:val="21"/>
      <w:szCs w:val="21"/>
      <w:u w:val="none"/>
    </w:rPr>
  </w:style>
  <w:style w:type="character" w:customStyle="1" w:styleId="44">
    <w:name w:val="font101"/>
    <w:basedOn w:val="21"/>
    <w:qFormat/>
    <w:uiPriority w:val="0"/>
    <w:rPr>
      <w:rFonts w:ascii="Calibri" w:hAnsi="Calibri" w:cs="Calibri"/>
      <w:color w:val="000000"/>
      <w:sz w:val="20"/>
      <w:szCs w:val="20"/>
      <w:u w:val="none"/>
    </w:rPr>
  </w:style>
  <w:style w:type="paragraph" w:customStyle="1" w:styleId="4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50735</Words>
  <Characters>53788</Characters>
  <Lines>443</Lines>
  <Paragraphs>124</Paragraphs>
  <TotalTime>117</TotalTime>
  <ScaleCrop>false</ScaleCrop>
  <LinksUpToDate>false</LinksUpToDate>
  <CharactersWithSpaces>56096</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2024-03-29T08:32:00Z</dcterms:created>
  <dc:creator>李柳婵</dc:creator>
  <cp:lastModifiedBy>代理</cp:lastModifiedBy>
  <dcterms:modified xsi:type="dcterms:W3CDTF">2025-05-19T07:19:41Z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268AEEB151CF48EAA0314A7A5DD3F237_13</vt:lpwstr>
  </property>
  <property fmtid="{D5CDD505-2E9C-101B-9397-08002B2CF9AE}" pid="4" name="KSOTemplateDocerSaveRecord">
    <vt:lpwstr>eyJoZGlkIjoiNjRjMTEzNWZjN2U1NDkwOWY1OWMyMjVjMzAwMzM0YjAiLCJ1c2VySWQiOiIyOTU2MjMwNTcifQ==</vt:lpwstr>
  </property>
</Properties>
</file>