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utoSpaceDE w:val="0"/>
        <w:autoSpaceDN w:val="0"/>
        <w:jc w:val="center"/>
        <w:rPr>
          <w:rFonts w:hint="eastAsia" w:ascii="宋体" w:hAnsi="宋体" w:eastAsia="宋体" w:cs="宋体"/>
          <w:b/>
          <w:bCs w:val="0"/>
          <w:color w:val="auto"/>
          <w:sz w:val="44"/>
          <w:szCs w:val="44"/>
          <w:highlight w:val="none"/>
        </w:rPr>
      </w:pPr>
    </w:p>
    <w:p>
      <w:pPr>
        <w:topLinePunct/>
        <w:autoSpaceDE w:val="0"/>
        <w:autoSpaceDN w:val="0"/>
        <w:jc w:val="center"/>
        <w:rPr>
          <w:rFonts w:hint="eastAsia" w:ascii="宋体" w:hAnsi="宋体" w:eastAsia="宋体" w:cs="宋体"/>
          <w:b/>
          <w:bCs w:val="0"/>
          <w:color w:val="auto"/>
          <w:sz w:val="44"/>
          <w:szCs w:val="44"/>
          <w:highlight w:val="none"/>
        </w:rPr>
      </w:pPr>
    </w:p>
    <w:p>
      <w:pPr>
        <w:topLinePunct/>
        <w:autoSpaceDE w:val="0"/>
        <w:autoSpaceDN w:val="0"/>
        <w:jc w:val="center"/>
        <w:rPr>
          <w:rFonts w:hint="eastAsia" w:ascii="宋体" w:hAnsi="宋体" w:eastAsia="宋体" w:cs="宋体"/>
          <w:b/>
          <w:bCs w:val="0"/>
          <w:color w:val="auto"/>
          <w:sz w:val="44"/>
          <w:szCs w:val="44"/>
          <w:highlight w:val="none"/>
        </w:rPr>
      </w:pPr>
      <w:r>
        <w:rPr>
          <w:rFonts w:hint="eastAsia" w:ascii="宋体" w:hAnsi="宋体" w:eastAsia="宋体" w:cs="宋体"/>
          <w:b/>
          <w:bCs w:val="0"/>
          <w:color w:val="auto"/>
          <w:sz w:val="44"/>
          <w:szCs w:val="44"/>
          <w:highlight w:val="none"/>
        </w:rPr>
        <w:t>磋商文件</w:t>
      </w:r>
    </w:p>
    <w:p>
      <w:pPr>
        <w:topLinePunct/>
        <w:autoSpaceDE w:val="0"/>
        <w:autoSpaceDN w:val="0"/>
        <w:spacing w:line="60" w:lineRule="exact"/>
        <w:jc w:val="center"/>
        <w:rPr>
          <w:rFonts w:hint="eastAsia" w:ascii="宋体" w:hAnsi="宋体" w:eastAsia="宋体" w:cs="宋体"/>
          <w:b/>
          <w:bCs w:val="0"/>
          <w:color w:val="auto"/>
          <w:sz w:val="44"/>
          <w:szCs w:val="44"/>
          <w:highlight w:val="none"/>
        </w:rPr>
      </w:pPr>
    </w:p>
    <w:p>
      <w:pPr>
        <w:tabs>
          <w:tab w:val="center" w:pos="4427"/>
          <w:tab w:val="left" w:pos="7120"/>
        </w:tabs>
        <w:topLinePunct/>
        <w:autoSpaceDE w:val="0"/>
        <w:autoSpaceDN w:val="0"/>
        <w:snapToGrid w:val="0"/>
        <w:jc w:val="left"/>
        <w:rPr>
          <w:rFonts w:hint="eastAsia" w:ascii="宋体" w:hAnsi="宋体" w:eastAsia="宋体" w:cs="宋体"/>
          <w:b/>
          <w:bCs w:val="0"/>
          <w:color w:val="auto"/>
          <w:sz w:val="44"/>
          <w:szCs w:val="44"/>
          <w:highlight w:val="none"/>
          <w:lang w:eastAsia="zh-CN"/>
        </w:rPr>
      </w:pPr>
      <w:r>
        <w:rPr>
          <w:rFonts w:hint="eastAsia" w:ascii="宋体" w:hAnsi="宋体" w:cs="宋体"/>
          <w:b/>
          <w:bCs w:val="0"/>
          <w:color w:val="auto"/>
          <w:sz w:val="44"/>
          <w:szCs w:val="44"/>
          <w:highlight w:val="none"/>
          <w:lang w:eastAsia="zh-CN"/>
        </w:rPr>
        <w:tab/>
      </w:r>
      <w:r>
        <w:rPr>
          <w:rFonts w:hint="eastAsia" w:ascii="宋体" w:hAnsi="宋体" w:eastAsia="宋体" w:cs="宋体"/>
          <w:b/>
          <w:bCs w:val="0"/>
          <w:color w:val="auto"/>
          <w:sz w:val="44"/>
          <w:szCs w:val="44"/>
          <w:highlight w:val="none"/>
        </w:rPr>
        <w:t>（商务部分）</w:t>
      </w:r>
      <w:r>
        <w:rPr>
          <w:rFonts w:hint="eastAsia" w:ascii="宋体" w:hAnsi="宋体" w:cs="宋体"/>
          <w:b/>
          <w:bCs w:val="0"/>
          <w:color w:val="auto"/>
          <w:sz w:val="44"/>
          <w:szCs w:val="44"/>
          <w:highlight w:val="none"/>
          <w:lang w:eastAsia="zh-CN"/>
        </w:rPr>
        <w:tab/>
      </w:r>
    </w:p>
    <w:p>
      <w:pPr>
        <w:bidi w:val="0"/>
        <w:rPr>
          <w:rFonts w:hint="eastAsia" w:ascii="宋体" w:hAnsi="宋体" w:eastAsia="宋体" w:cs="宋体"/>
          <w:b/>
          <w:bCs w:val="0"/>
          <w:color w:val="auto"/>
          <w:sz w:val="44"/>
          <w:szCs w:val="44"/>
          <w:highlight w:val="none"/>
        </w:rPr>
      </w:pPr>
    </w:p>
    <w:p>
      <w:pPr>
        <w:pStyle w:val="11"/>
        <w:jc w:val="center"/>
        <w:rPr>
          <w:rFonts w:hint="eastAsia" w:ascii="宋体" w:hAnsi="宋体" w:eastAsia="宋体" w:cs="宋体"/>
          <w:b/>
          <w:bCs w:val="0"/>
          <w:color w:val="auto"/>
          <w:kern w:val="0"/>
          <w:sz w:val="30"/>
          <w:szCs w:val="72"/>
          <w:highlight w:val="none"/>
          <w:lang w:val="en-US" w:eastAsia="zh-CN" w:bidi="ar-SA"/>
        </w:rPr>
      </w:pPr>
      <w:r>
        <w:rPr>
          <w:rFonts w:hint="eastAsia" w:ascii="宋体" w:hAnsi="宋体" w:eastAsia="宋体" w:cs="宋体"/>
          <w:b/>
          <w:bCs w:val="0"/>
          <w:color w:val="auto"/>
          <w:kern w:val="0"/>
          <w:sz w:val="30"/>
          <w:szCs w:val="72"/>
          <w:highlight w:val="none"/>
          <w:lang w:val="en-US" w:eastAsia="zh-CN" w:bidi="ar-SA"/>
        </w:rPr>
        <w:t>（本项目为目录外标准下项目）</w:t>
      </w:r>
    </w:p>
    <w:p>
      <w:pPr>
        <w:bidi w:val="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项目名称：国家税务总局南宁市税务局</w:t>
      </w:r>
    </w:p>
    <w:p>
      <w:pPr>
        <w:keepNext w:val="0"/>
        <w:keepLines w:val="0"/>
        <w:pageBreakBefore w:val="0"/>
        <w:widowControl w:val="0"/>
        <w:kinsoku/>
        <w:wordWrap/>
        <w:overflowPunct/>
        <w:topLinePunct w:val="0"/>
        <w:autoSpaceDE/>
        <w:autoSpaceDN/>
        <w:bidi w:val="0"/>
        <w:adjustRightInd/>
        <w:snapToGrid/>
        <w:spacing w:line="480" w:lineRule="auto"/>
        <w:ind w:firstLine="1680" w:firstLineChars="700"/>
        <w:jc w:val="both"/>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专业媒体综合服务项目</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项目编号：</w:t>
      </w:r>
      <w:r>
        <w:rPr>
          <w:rFonts w:hint="eastAsia" w:ascii="宋体" w:hAnsi="宋体" w:eastAsia="宋体" w:cs="宋体"/>
          <w:color w:val="auto"/>
          <w:sz w:val="24"/>
          <w:szCs w:val="24"/>
          <w:highlight w:val="none"/>
          <w:u w:val="none"/>
          <w:lang w:val="en-US" w:eastAsia="zh-CN"/>
        </w:rPr>
        <w:t>FS（ZB3）20240</w:t>
      </w:r>
      <w:r>
        <w:rPr>
          <w:rFonts w:hint="eastAsia" w:ascii="宋体" w:hAnsi="宋体" w:cs="宋体"/>
          <w:color w:val="auto"/>
          <w:sz w:val="24"/>
          <w:szCs w:val="24"/>
          <w:highlight w:val="none"/>
          <w:u w:val="none"/>
          <w:lang w:val="en-US" w:eastAsia="zh-CN"/>
        </w:rPr>
        <w:t>31</w:t>
      </w:r>
      <w:r>
        <w:rPr>
          <w:rFonts w:hint="eastAsia" w:ascii="宋体" w:hAnsi="宋体" w:eastAsia="宋体" w:cs="宋体"/>
          <w:color w:val="auto"/>
          <w:sz w:val="24"/>
          <w:szCs w:val="24"/>
          <w:highlight w:val="none"/>
          <w:u w:val="none"/>
          <w:lang w:val="en-US" w:eastAsia="zh-CN"/>
        </w:rPr>
        <w:t>C</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采 购 人：国家税务总局南宁市税务局</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采购代理机构：广西建设工程机电设备招标中心有限公司</w:t>
      </w:r>
    </w:p>
    <w:p>
      <w:pPr>
        <w:topLinePunct/>
        <w:autoSpaceDE w:val="0"/>
        <w:autoSpaceDN w:val="0"/>
        <w:spacing w:line="460" w:lineRule="exact"/>
        <w:rPr>
          <w:rFonts w:hint="eastAsia" w:ascii="宋体" w:hAnsi="宋体" w:eastAsia="宋体" w:cs="宋体"/>
          <w:b/>
          <w:color w:val="auto"/>
          <w:sz w:val="24"/>
          <w:szCs w:val="24"/>
          <w:highlight w:val="none"/>
          <w:u w:val="none"/>
        </w:rPr>
      </w:pPr>
    </w:p>
    <w:p>
      <w:pPr>
        <w:topLinePunct/>
        <w:autoSpaceDE w:val="0"/>
        <w:autoSpaceDN w:val="0"/>
        <w:spacing w:line="460" w:lineRule="exact"/>
        <w:jc w:val="center"/>
        <w:rPr>
          <w:rFonts w:hint="eastAsia" w:ascii="宋体" w:hAnsi="宋体" w:eastAsia="宋体" w:cs="宋体"/>
          <w:color w:val="auto"/>
          <w:sz w:val="24"/>
          <w:szCs w:val="24"/>
          <w:highlight w:val="none"/>
        </w:rPr>
      </w:pPr>
    </w:p>
    <w:p>
      <w:pPr>
        <w:keepNext w:val="0"/>
        <w:keepLines w:val="0"/>
        <w:pageBreakBefore w:val="0"/>
        <w:widowControl w:val="0"/>
        <w:kinsoku/>
        <w:wordWrap/>
        <w:overflowPunct/>
        <w:bidi w:val="0"/>
        <w:adjustRightInd/>
        <w:snapToGrid/>
        <w:spacing w:line="500" w:lineRule="exact"/>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国家税务总局南宁市税务局</w:t>
      </w:r>
    </w:p>
    <w:p>
      <w:pPr>
        <w:keepNext w:val="0"/>
        <w:keepLines w:val="0"/>
        <w:pageBreakBefore w:val="0"/>
        <w:widowControl w:val="0"/>
        <w:kinsoku/>
        <w:wordWrap/>
        <w:overflowPunct/>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日</w:t>
      </w: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rPr>
      </w:pPr>
    </w:p>
    <w:p>
      <w:pPr>
        <w:rPr>
          <w:rFonts w:hint="eastAsia" w:ascii="宋体" w:hAnsi="宋体" w:eastAsia="宋体" w:cs="宋体"/>
          <w:color w:val="auto"/>
          <w:highlight w:val="none"/>
        </w:rPr>
        <w:sectPr>
          <w:footerReference r:id="rId3" w:type="default"/>
          <w:pgSz w:w="11906" w:h="16838"/>
          <w:pgMar w:top="1440" w:right="1418" w:bottom="1440" w:left="1752"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zh-CN"/>
        </w:rPr>
        <w:t>目  录</w:t>
      </w:r>
    </w:p>
    <w:p>
      <w:pPr>
        <w:pStyle w:val="14"/>
        <w:tabs>
          <w:tab w:val="right" w:leader="dot" w:pos="8402"/>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"1-2"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_Toc5544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2"/>
          <w:szCs w:val="28"/>
          <w:highlight w:val="none"/>
          <w:lang w:val="en-US" w:eastAsia="zh-CN" w:bidi="ar-SA"/>
        </w:rPr>
        <w:t>第一章</w:t>
      </w:r>
      <w:r>
        <w:rPr>
          <w:rFonts w:hint="eastAsia" w:ascii="宋体" w:hAnsi="宋体" w:eastAsia="宋体" w:cs="宋体"/>
          <w:bCs/>
          <w:color w:val="auto"/>
          <w:szCs w:val="28"/>
          <w:highlight w:val="none"/>
        </w:rPr>
        <w:t xml:space="preserve"> 磋商邀请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_Toc5544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402"/>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_Toc25790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8"/>
          <w:highlight w:val="none"/>
        </w:rPr>
        <w:t>第二章　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_Toc25790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tabs>
          <w:tab w:val="right" w:leader="dot" w:pos="8402"/>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_Toc8944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4"/>
          <w:highlight w:val="none"/>
        </w:rPr>
        <w:t>供应商须知前附表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_Toc8944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tabs>
          <w:tab w:val="right" w:leader="dot" w:pos="8402"/>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_Toc17193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_Toc17193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tabs>
          <w:tab w:val="right" w:leader="dot" w:pos="8402"/>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_Toc31361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二、采购文件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_Toc31361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tabs>
          <w:tab w:val="right" w:leader="dot" w:pos="8402"/>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_Toc21281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三、响应文件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_Toc21281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tabs>
          <w:tab w:val="right" w:leader="dot" w:pos="8402"/>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_Toc14643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四、响应文件递交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_Toc14643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tabs>
          <w:tab w:val="right" w:leader="dot" w:pos="8402"/>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_Toc13146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五、磋商与评审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_Toc13146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tabs>
          <w:tab w:val="right" w:leader="dot" w:pos="8402"/>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_Toc2881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六、成交和合同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_Toc2881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tabs>
          <w:tab w:val="right" w:leader="dot" w:pos="8402"/>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_Toc3623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七、询问和质疑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_Toc3623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tabs>
          <w:tab w:val="right" w:leader="dot" w:pos="8402"/>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_Toc3214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八、其他</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_Toc3214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402"/>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_Toc18238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8"/>
          <w:highlight w:val="none"/>
        </w:rPr>
        <w:t>第三章  评审方法及标准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_Toc18238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402"/>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_Toc21489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8"/>
          <w:highlight w:val="none"/>
        </w:rPr>
        <w:t>第四章  合同文本</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_Toc21489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402"/>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_Toc7236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8"/>
          <w:highlight w:val="none"/>
        </w:rPr>
        <w:t>第五章　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_Toc7236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402"/>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_Toc18935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8"/>
          <w:highlight w:val="none"/>
        </w:rPr>
        <w:t>第六章  项目采购需求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_Toc18935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tabs>
          <w:tab w:val="right" w:leader="dot" w:pos="8402"/>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_Toc30472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lang w:val="en-US" w:eastAsia="zh-CN"/>
        </w:rPr>
        <w:t>一</w:t>
      </w:r>
      <w:r>
        <w:rPr>
          <w:rFonts w:hint="eastAsia" w:ascii="宋体" w:hAnsi="宋体" w:eastAsia="宋体" w:cs="宋体"/>
          <w:bCs/>
          <w:color w:val="auto"/>
          <w:highlight w:val="none"/>
        </w:rPr>
        <w:t>、项目概况</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_Toc30472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tabs>
          <w:tab w:val="right" w:leader="dot" w:pos="8402"/>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_Toc11976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rPr>
        <w:t>二、技术要求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_Toc11976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tabs>
          <w:tab w:val="right" w:leader="dot" w:pos="8402"/>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_Toc26206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rPr>
        <w:t>三、商务要求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_Toc26206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tabs>
          <w:tab w:val="right" w:leader="dot" w:pos="8402"/>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_Toc4106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rPr>
        <w:t>四、其他事项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_Toc4106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pPr>
        <w:rPr>
          <w:rFonts w:hint="eastAsia" w:ascii="宋体" w:hAnsi="宋体" w:eastAsia="宋体" w:cs="宋体"/>
          <w:b/>
          <w:color w:val="auto"/>
          <w:sz w:val="44"/>
          <w:szCs w:val="44"/>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sectPr>
          <w:footerReference r:id="rId7" w:type="first"/>
          <w:footerReference r:id="rId5" w:type="default"/>
          <w:headerReference r:id="rId4" w:type="even"/>
          <w:footerReference r:id="rId6" w:type="even"/>
          <w:pgSz w:w="11906" w:h="16838"/>
          <w:pgMar w:top="1440" w:right="1752" w:bottom="1440" w:left="1752" w:header="851" w:footer="992" w:gutter="0"/>
          <w:pgNumType w:fmt="decimal"/>
          <w:cols w:space="720" w:num="1"/>
          <w:titlePg/>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28"/>
          <w:szCs w:val="28"/>
          <w:highlight w:val="none"/>
        </w:rPr>
      </w:pPr>
      <w:bookmarkStart w:id="0" w:name="_Toc5544"/>
      <w:bookmarkStart w:id="1" w:name="_Toc132880655"/>
      <w:r>
        <w:rPr>
          <w:rFonts w:hint="eastAsia" w:ascii="宋体" w:hAnsi="宋体" w:eastAsia="宋体" w:cs="宋体"/>
          <w:b/>
          <w:bCs/>
          <w:color w:val="auto"/>
          <w:kern w:val="2"/>
          <w:sz w:val="28"/>
          <w:szCs w:val="28"/>
          <w:highlight w:val="none"/>
          <w:lang w:val="en-US" w:eastAsia="zh-CN" w:bidi="ar-SA"/>
        </w:rPr>
        <w:t>第一章</w:t>
      </w:r>
      <w:r>
        <w:rPr>
          <w:rFonts w:hint="eastAsia" w:ascii="宋体" w:hAnsi="宋体" w:eastAsia="宋体" w:cs="宋体"/>
          <w:b/>
          <w:bCs/>
          <w:color w:val="auto"/>
          <w:sz w:val="28"/>
          <w:szCs w:val="28"/>
          <w:highlight w:val="none"/>
        </w:rPr>
        <w:t xml:space="preserve"> 磋商邀请</w:t>
      </w:r>
      <w:bookmarkEnd w:id="0"/>
      <w:bookmarkEnd w:id="1"/>
    </w:p>
    <w:p>
      <w:pPr>
        <w:spacing w:line="360" w:lineRule="auto"/>
        <w:jc w:val="center"/>
        <w:outlineLvl w:val="9"/>
        <w:rPr>
          <w:rFonts w:hint="eastAsia" w:ascii="宋体" w:hAnsi="宋体" w:eastAsia="宋体" w:cs="宋体"/>
          <w:b/>
          <w:color w:val="auto"/>
          <w:sz w:val="28"/>
          <w:szCs w:val="28"/>
          <w:highlight w:val="none"/>
          <w:lang w:val="en-US" w:eastAsia="zh-CN"/>
        </w:rPr>
      </w:pPr>
      <w:bookmarkStart w:id="2" w:name="_Toc4676141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国家税务总局南宁市税务局</w:t>
      </w:r>
    </w:p>
    <w:p>
      <w:pPr>
        <w:keepNext w:val="0"/>
        <w:keepLines w:val="0"/>
        <w:pageBreakBefore w:val="0"/>
        <w:widowControl w:val="0"/>
        <w:numPr>
          <w:ilvl w:val="0"/>
          <w:numId w:val="0"/>
        </w:numPr>
        <w:tabs>
          <w:tab w:val="center" w:pos="4260"/>
          <w:tab w:val="left" w:pos="7358"/>
        </w:tabs>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eastAsia="zh-CN"/>
        </w:rPr>
        <w:tab/>
      </w:r>
      <w:r>
        <w:rPr>
          <w:rFonts w:hint="eastAsia" w:ascii="宋体" w:hAnsi="宋体" w:eastAsia="宋体" w:cs="宋体"/>
          <w:b/>
          <w:color w:val="auto"/>
          <w:sz w:val="28"/>
          <w:szCs w:val="28"/>
          <w:highlight w:val="none"/>
        </w:rPr>
        <w:t>专业媒体综合服务项目</w:t>
      </w:r>
      <w:r>
        <w:rPr>
          <w:rFonts w:hint="eastAsia" w:ascii="宋体" w:hAnsi="宋体" w:cs="宋体"/>
          <w:b/>
          <w:color w:val="auto"/>
          <w:sz w:val="28"/>
          <w:szCs w:val="28"/>
          <w:highlight w:val="none"/>
          <w:lang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FS（ZB3）2024031C</w:t>
      </w:r>
      <w:r>
        <w:rPr>
          <w:rFonts w:hint="eastAsia" w:ascii="宋体" w:hAnsi="宋体" w:eastAsia="宋体" w:cs="宋体"/>
          <w:b/>
          <w:color w:val="auto"/>
          <w:sz w:val="28"/>
          <w:szCs w:val="28"/>
          <w:highlight w:val="none"/>
        </w:rPr>
        <w:t>）磋商公告</w:t>
      </w:r>
      <w:bookmarkEnd w:id="2"/>
    </w:p>
    <w:p>
      <w:pPr>
        <w:pBdr>
          <w:top w:val="single" w:color="auto" w:sz="4" w:space="1"/>
          <w:left w:val="single" w:color="auto" w:sz="4" w:space="4"/>
          <w:bottom w:val="single" w:color="auto" w:sz="4" w:space="1"/>
          <w:right w:val="single" w:color="auto" w:sz="4" w:space="4"/>
        </w:pBd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国家税务总局南宁市税务局专业媒体综合服务项目</w:t>
      </w:r>
      <w:r>
        <w:rPr>
          <w:rFonts w:hint="eastAsia" w:ascii="宋体" w:hAnsi="宋体" w:eastAsia="宋体" w:cs="宋体"/>
          <w:color w:val="auto"/>
          <w:sz w:val="21"/>
          <w:szCs w:val="21"/>
          <w:highlight w:val="none"/>
        </w:rPr>
        <w:t>的潜在供应商应在</w:t>
      </w:r>
      <w:r>
        <w:rPr>
          <w:rFonts w:hint="eastAsia" w:ascii="宋体" w:hAnsi="宋体" w:eastAsia="宋体" w:cs="宋体"/>
          <w:color w:val="auto"/>
          <w:sz w:val="21"/>
          <w:szCs w:val="21"/>
          <w:highlight w:val="none"/>
          <w:u w:val="single"/>
        </w:rPr>
        <w:t>广西阳光采购服务平台</w:t>
      </w:r>
      <w:r>
        <w:rPr>
          <w:rFonts w:hint="eastAsia" w:ascii="宋体" w:hAnsi="宋体" w:eastAsia="宋体" w:cs="宋体"/>
          <w:color w:val="auto"/>
          <w:sz w:val="21"/>
          <w:szCs w:val="21"/>
          <w:highlight w:val="none"/>
        </w:rPr>
        <w:t>获取采购文件，并于</w:t>
      </w:r>
      <w:r>
        <w:rPr>
          <w:rFonts w:hint="eastAsia" w:ascii="宋体" w:hAnsi="宋体" w:eastAsia="宋体" w:cs="宋体"/>
          <w:color w:val="auto"/>
          <w:sz w:val="21"/>
          <w:szCs w:val="21"/>
          <w:highlight w:val="none"/>
          <w:u w:val="single"/>
          <w:lang w:val="en-US" w:eastAsia="zh-CN"/>
        </w:rPr>
        <w:t>2024</w:t>
      </w:r>
      <w:r>
        <w:rPr>
          <w:rFonts w:hint="eastAsia" w:ascii="宋体" w:hAnsi="宋体" w:eastAsia="宋体" w:cs="宋体"/>
          <w:bCs/>
          <w:color w:val="auto"/>
          <w:sz w:val="21"/>
          <w:szCs w:val="21"/>
          <w:highlight w:val="none"/>
          <w:u w:val="single"/>
        </w:rPr>
        <w:t>年</w:t>
      </w:r>
      <w:r>
        <w:rPr>
          <w:rFonts w:hint="eastAsia" w:ascii="宋体" w:hAnsi="宋体" w:cs="宋体"/>
          <w:bCs/>
          <w:color w:val="auto"/>
          <w:sz w:val="21"/>
          <w:szCs w:val="21"/>
          <w:highlight w:val="none"/>
          <w:u w:val="single"/>
          <w:lang w:val="en-US" w:eastAsia="zh-CN"/>
        </w:rPr>
        <w:t>7</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15</w:t>
      </w:r>
      <w:r>
        <w:rPr>
          <w:rFonts w:hint="eastAsia" w:ascii="宋体" w:hAnsi="宋体" w:eastAsia="宋体" w:cs="宋体"/>
          <w:bCs/>
          <w:color w:val="auto"/>
          <w:sz w:val="21"/>
          <w:szCs w:val="21"/>
          <w:highlight w:val="none"/>
          <w:u w:val="single"/>
        </w:rPr>
        <w:t>日</w:t>
      </w:r>
      <w:r>
        <w:rPr>
          <w:rFonts w:hint="eastAsia" w:ascii="宋体" w:hAnsi="宋体" w:eastAsia="宋体" w:cs="宋体"/>
          <w:bCs/>
          <w:color w:val="auto"/>
          <w:sz w:val="21"/>
          <w:szCs w:val="21"/>
          <w:highlight w:val="none"/>
          <w:u w:val="single"/>
          <w:lang w:val="en-US" w:eastAsia="zh-CN"/>
        </w:rPr>
        <w:t>上午09点30分</w:t>
      </w:r>
      <w:r>
        <w:rPr>
          <w:rFonts w:hint="eastAsia" w:ascii="宋体" w:hAnsi="宋体" w:eastAsia="宋体" w:cs="宋体"/>
          <w:bCs/>
          <w:color w:val="auto"/>
          <w:sz w:val="21"/>
          <w:szCs w:val="21"/>
          <w:highlight w:val="none"/>
        </w:rPr>
        <w:t>（北京时间）前提交响应文件</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一、项目基本情况</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val="en-US" w:eastAsia="zh-CN"/>
        </w:rPr>
        <w:t>FS（ZB3）2024031C</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项目名称：国家税务总局南宁市税务局专业媒体综合服务项目</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采购方式：磋商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本项目为目录外标准下项目</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w:t>
      </w:r>
      <w:r>
        <w:rPr>
          <w:rFonts w:hint="eastAsia" w:ascii="宋体" w:hAnsi="宋体" w:eastAsia="宋体" w:cs="宋体"/>
          <w:color w:val="auto"/>
          <w:szCs w:val="21"/>
          <w:highlight w:val="none"/>
        </w:rPr>
        <w:t>人民币（大写）</w:t>
      </w:r>
      <w:r>
        <w:rPr>
          <w:rFonts w:hint="eastAsia" w:ascii="宋体" w:hAnsi="宋体" w:cs="宋体"/>
          <w:color w:val="auto"/>
          <w:szCs w:val="21"/>
          <w:highlight w:val="none"/>
          <w:lang w:val="en-US" w:eastAsia="zh-CN"/>
        </w:rPr>
        <w:t>伍拾万元整(</w:t>
      </w:r>
      <w:r>
        <w:rPr>
          <w:rFonts w:hint="default" w:ascii="Arial" w:hAnsi="Arial" w:cs="Arial"/>
          <w:color w:val="auto"/>
          <w:szCs w:val="21"/>
          <w:highlight w:val="none"/>
          <w:lang w:val="en-US" w:eastAsia="zh-CN"/>
        </w:rPr>
        <w:t>¥</w:t>
      </w:r>
      <w:r>
        <w:rPr>
          <w:rFonts w:hint="eastAsia" w:ascii="宋体" w:hAnsi="宋体" w:cs="宋体"/>
          <w:color w:val="auto"/>
          <w:szCs w:val="21"/>
          <w:highlight w:val="none"/>
          <w:lang w:val="en-US" w:eastAsia="zh-CN"/>
        </w:rPr>
        <w:t>500000.00)</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r>
        <w:rPr>
          <w:rFonts w:hint="eastAsia" w:ascii="宋体" w:hAnsi="宋体" w:eastAsia="宋体" w:cs="宋体"/>
          <w:color w:val="auto"/>
          <w:szCs w:val="21"/>
          <w:highlight w:val="none"/>
        </w:rPr>
        <w:t>人民币（大写）</w:t>
      </w:r>
      <w:r>
        <w:rPr>
          <w:rFonts w:hint="eastAsia" w:ascii="宋体" w:hAnsi="宋体" w:cs="宋体"/>
          <w:color w:val="auto"/>
          <w:szCs w:val="21"/>
          <w:highlight w:val="none"/>
          <w:lang w:val="en-US" w:eastAsia="zh-CN"/>
        </w:rPr>
        <w:t>伍拾万元整(</w:t>
      </w:r>
      <w:r>
        <w:rPr>
          <w:rFonts w:hint="default" w:ascii="Arial" w:hAnsi="Arial" w:cs="Arial"/>
          <w:color w:val="auto"/>
          <w:szCs w:val="21"/>
          <w:highlight w:val="none"/>
          <w:lang w:val="en-US" w:eastAsia="zh-CN"/>
        </w:rPr>
        <w:t>¥</w:t>
      </w:r>
      <w:r>
        <w:rPr>
          <w:rFonts w:hint="eastAsia" w:ascii="宋体" w:hAnsi="宋体" w:cs="宋体"/>
          <w:color w:val="auto"/>
          <w:szCs w:val="21"/>
          <w:highlight w:val="none"/>
          <w:lang w:val="en-US" w:eastAsia="zh-CN"/>
        </w:rPr>
        <w:t>500000.00)</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采购需求：国家税务总局南宁市税务局专业媒体综合服务项目</w:t>
      </w:r>
      <w:r>
        <w:rPr>
          <w:rFonts w:hint="eastAsia" w:ascii="宋体" w:hAnsi="宋体" w:eastAsia="宋体" w:cs="宋体"/>
          <w:color w:val="auto"/>
          <w:sz w:val="21"/>
          <w:szCs w:val="21"/>
          <w:highlight w:val="none"/>
          <w:lang w:val="en-US" w:eastAsia="zh-CN"/>
        </w:rPr>
        <w:t>主要包括：</w:t>
      </w:r>
      <w:r>
        <w:rPr>
          <w:rFonts w:hint="eastAsia" w:ascii="宋体" w:hAnsi="宋体" w:eastAsia="宋体" w:cs="宋体"/>
          <w:color w:val="auto"/>
          <w:sz w:val="21"/>
          <w:szCs w:val="21"/>
          <w:highlight w:val="none"/>
        </w:rPr>
        <w:t>专业编辑驻点服务</w:t>
      </w:r>
      <w:r>
        <w:rPr>
          <w:rFonts w:hint="eastAsia" w:ascii="宋体" w:hAnsi="宋体" w:eastAsia="宋体" w:cs="宋体"/>
          <w:color w:val="auto"/>
          <w:sz w:val="21"/>
          <w:szCs w:val="21"/>
          <w:highlight w:val="none"/>
          <w:lang w:eastAsia="zh-CN"/>
        </w:rPr>
        <w:t>、全媒体信息推广服务</w:t>
      </w:r>
      <w:r>
        <w:rPr>
          <w:rFonts w:hint="eastAsia" w:ascii="宋体" w:hAnsi="宋体" w:eastAsia="宋体" w:cs="宋体"/>
          <w:color w:val="auto"/>
          <w:sz w:val="21"/>
          <w:szCs w:val="21"/>
          <w:highlight w:val="none"/>
        </w:rPr>
        <w:t>如需进一步了解详细内容，详见采购文件</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合同履行期限：</w:t>
      </w:r>
      <w:r>
        <w:rPr>
          <w:rFonts w:hint="eastAsia" w:ascii="宋体" w:hAnsi="宋体" w:cs="宋体"/>
          <w:color w:val="auto"/>
          <w:highlight w:val="none"/>
          <w:lang w:val="en-US" w:eastAsia="zh-CN"/>
        </w:rPr>
        <w:t>一年</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w:t>
      </w:r>
      <w:r>
        <w:rPr>
          <w:rFonts w:hint="eastAsia" w:ascii="宋体" w:hAnsi="宋体" w:eastAsia="宋体" w:cs="宋体"/>
          <w:i/>
          <w:color w:val="auto"/>
          <w:sz w:val="21"/>
          <w:szCs w:val="21"/>
          <w:highlight w:val="none"/>
        </w:rPr>
        <w:t>是/否</w:t>
      </w:r>
      <w:r>
        <w:rPr>
          <w:rFonts w:hint="eastAsia" w:ascii="宋体" w:hAnsi="宋体" w:eastAsia="宋体" w:cs="宋体"/>
          <w:color w:val="auto"/>
          <w:sz w:val="21"/>
          <w:szCs w:val="21"/>
          <w:highlight w:val="none"/>
        </w:rPr>
        <w:t>）接受联合体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rPr>
        <w:t>不接受联合体。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二、申请人的资格要求：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pPr>
        <w:spacing w:line="560" w:lineRule="exact"/>
        <w:ind w:firstLine="420" w:firstLineChars="200"/>
        <w:rPr>
          <w:rStyle w:val="21"/>
          <w:rFonts w:ascii="Times New Roman" w:hAnsi="Times New Roman"/>
          <w:color w:val="auto"/>
          <w:szCs w:val="30"/>
          <w:highlight w:val="none"/>
        </w:rPr>
      </w:pPr>
      <w:r>
        <w:rPr>
          <w:rFonts w:hint="eastAsia" w:ascii="宋体" w:hAnsi="宋体" w:eastAsia="宋体" w:cs="宋体"/>
          <w:color w:val="auto"/>
          <w:sz w:val="21"/>
          <w:szCs w:val="21"/>
          <w:highlight w:val="none"/>
          <w:lang w:val="en-US" w:eastAsia="zh-CN"/>
        </w:rPr>
        <w:t>2.</w:t>
      </w:r>
      <w:r>
        <w:rPr>
          <w:rStyle w:val="21"/>
          <w:rFonts w:ascii="Times New Roman" w:hAnsi="Times New Roman"/>
          <w:color w:val="auto"/>
          <w:szCs w:val="30"/>
          <w:highlight w:val="none"/>
        </w:rPr>
        <w:t>本项目由符合国家有关法律法规规定、同时满足本项目资质要求、在中国境内注册的合格供应商参加。</w:t>
      </w:r>
    </w:p>
    <w:p>
      <w:pPr>
        <w:spacing w:line="560" w:lineRule="exact"/>
        <w:ind w:firstLine="420" w:firstLineChars="200"/>
        <w:rPr>
          <w:rStyle w:val="21"/>
          <w:rFonts w:ascii="Times New Roman" w:hAnsi="Times New Roman"/>
          <w:color w:val="auto"/>
          <w:szCs w:val="30"/>
          <w:highlight w:val="none"/>
        </w:rPr>
      </w:pPr>
      <w:r>
        <w:rPr>
          <w:rFonts w:hint="eastAsia" w:ascii="宋体" w:hAnsi="宋体" w:eastAsia="宋体" w:cs="宋体"/>
          <w:color w:val="auto"/>
          <w:sz w:val="21"/>
          <w:szCs w:val="21"/>
          <w:highlight w:val="none"/>
          <w:lang w:val="en-US" w:eastAsia="zh-CN"/>
        </w:rPr>
        <w:t>3.</w:t>
      </w:r>
      <w:r>
        <w:rPr>
          <w:rStyle w:val="21"/>
          <w:rFonts w:ascii="Times New Roman" w:hAnsi="Times New Roman"/>
          <w:color w:val="auto"/>
          <w:szCs w:val="30"/>
          <w:highlight w:val="none"/>
        </w:rPr>
        <w:t>不存在不良信用记录（在“信用中国”网站&lt;www.creditchina.gov.cn&gt;、中国政府采购网&lt;www.ccgp.gov.cn&gt;等渠道被列入失信被执行人、重大税收违法案件当事人名单、政府采购严重违法失信行为记录名单的供应商将被拒绝其参与本次政府采购活动）。</w:t>
      </w:r>
    </w:p>
    <w:p>
      <w:pPr>
        <w:spacing w:line="560" w:lineRule="exact"/>
        <w:ind w:firstLine="420" w:firstLineChars="200"/>
        <w:rPr>
          <w:rStyle w:val="21"/>
          <w:rFonts w:ascii="Times New Roman" w:hAnsi="Times New Roman"/>
          <w:color w:val="auto"/>
          <w:szCs w:val="30"/>
          <w:highlight w:val="none"/>
        </w:rPr>
      </w:pPr>
      <w:r>
        <w:rPr>
          <w:rFonts w:hint="eastAsia" w:ascii="宋体" w:hAnsi="宋体" w:eastAsia="宋体" w:cs="宋体"/>
          <w:color w:val="auto"/>
          <w:sz w:val="21"/>
          <w:szCs w:val="21"/>
          <w:highlight w:val="none"/>
          <w:lang w:val="en-US" w:eastAsia="zh-CN"/>
        </w:rPr>
        <w:t>4.</w:t>
      </w:r>
      <w:r>
        <w:rPr>
          <w:rStyle w:val="21"/>
          <w:rFonts w:ascii="Times New Roman" w:hAnsi="Times New Roman"/>
          <w:color w:val="auto"/>
          <w:szCs w:val="30"/>
          <w:highlight w:val="none"/>
        </w:rPr>
        <w:t>单位负责人为同一人或者存在直接控股、管理关系的不同供应商，不得参加同一合同项下的政府采购活动。</w:t>
      </w:r>
    </w:p>
    <w:p>
      <w:pPr>
        <w:spacing w:line="560" w:lineRule="exact"/>
        <w:ind w:firstLine="420" w:firstLineChars="200"/>
        <w:rPr>
          <w:rFonts w:ascii="Times New Roman" w:hAnsi="Times New Roman"/>
          <w:color w:val="auto"/>
          <w:highlight w:val="none"/>
        </w:rPr>
      </w:pPr>
      <w:r>
        <w:rPr>
          <w:rFonts w:hint="eastAsia" w:ascii="宋体" w:hAnsi="宋体" w:eastAsia="宋体" w:cs="宋体"/>
          <w:color w:val="auto"/>
          <w:sz w:val="21"/>
          <w:szCs w:val="21"/>
          <w:highlight w:val="none"/>
          <w:lang w:val="en-US" w:eastAsia="zh-CN"/>
        </w:rPr>
        <w:t>5.</w:t>
      </w:r>
      <w:r>
        <w:rPr>
          <w:rStyle w:val="21"/>
          <w:rFonts w:ascii="Times New Roman" w:hAnsi="Times New Roman"/>
          <w:color w:val="auto"/>
          <w:szCs w:val="30"/>
          <w:highlight w:val="none"/>
        </w:rPr>
        <w:t>为本项目提供整体设计、规范编制或者项目管理、监理、检测等服务的供应商，不得再参加本次政府采购活动</w:t>
      </w:r>
      <w:r>
        <w:rPr>
          <w:rFonts w:ascii="Times New Roman" w:hAnsi="Times New Roman"/>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三、获取采购文件</w:t>
      </w:r>
    </w:p>
    <w:p>
      <w:pPr>
        <w:keepNext w:val="0"/>
        <w:keepLines w:val="0"/>
        <w:pageBreakBefore w:val="0"/>
        <w:kinsoku/>
        <w:overflowPunct/>
        <w:autoSpaceDE/>
        <w:autoSpaceDN/>
        <w:bidi w:val="0"/>
        <w:adjustRightInd/>
        <w:snapToGrid w:val="0"/>
        <w:spacing w:before="60" w:after="60" w:line="336"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lang w:val="en-US" w:eastAsia="zh-CN"/>
        </w:rPr>
        <w:t>2024</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lang w:val="en-US" w:eastAsia="zh-CN"/>
        </w:rPr>
        <w:t>2024</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，每天上午</w:t>
      </w:r>
      <w:r>
        <w:rPr>
          <w:rFonts w:hint="eastAsia" w:ascii="宋体" w:hAnsi="宋体" w:eastAsia="宋体" w:cs="宋体"/>
          <w:color w:val="auto"/>
          <w:sz w:val="21"/>
          <w:szCs w:val="21"/>
          <w:highlight w:val="none"/>
          <w:u w:val="single"/>
          <w:lang w:val="en-US" w:eastAsia="zh-CN"/>
        </w:rPr>
        <w:t>8：00</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lang w:val="en-US" w:eastAsia="zh-CN"/>
        </w:rPr>
        <w:t>12：00</w:t>
      </w:r>
      <w:r>
        <w:rPr>
          <w:rFonts w:hint="eastAsia" w:ascii="宋体" w:hAnsi="宋体" w:eastAsia="宋体" w:cs="宋体"/>
          <w:color w:val="auto"/>
          <w:sz w:val="21"/>
          <w:szCs w:val="21"/>
          <w:highlight w:val="none"/>
        </w:rPr>
        <w:t>，下午</w:t>
      </w:r>
      <w:r>
        <w:rPr>
          <w:rFonts w:hint="eastAsia" w:ascii="宋体" w:hAnsi="宋体" w:eastAsia="宋体" w:cs="宋体"/>
          <w:color w:val="auto"/>
          <w:sz w:val="21"/>
          <w:szCs w:val="21"/>
          <w:highlight w:val="none"/>
          <w:u w:val="single"/>
          <w:lang w:val="en-US" w:eastAsia="zh-CN"/>
        </w:rPr>
        <w:t>3：00</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lang w:val="en-US" w:eastAsia="zh-CN"/>
        </w:rPr>
        <w:t>6：00</w:t>
      </w:r>
      <w:r>
        <w:rPr>
          <w:rFonts w:hint="eastAsia" w:ascii="宋体" w:hAnsi="宋体" w:eastAsia="宋体" w:cs="宋体"/>
          <w:color w:val="auto"/>
          <w:sz w:val="21"/>
          <w:szCs w:val="21"/>
          <w:highlight w:val="none"/>
        </w:rPr>
        <w:t>（北京时间，法定节假日除外）</w:t>
      </w:r>
      <w:r>
        <w:rPr>
          <w:rFonts w:hint="eastAsia" w:ascii="宋体" w:hAnsi="宋体" w:eastAsia="宋体" w:cs="宋体"/>
          <w:color w:val="auto"/>
          <w:sz w:val="21"/>
          <w:szCs w:val="21"/>
          <w:highlight w:val="none"/>
          <w:lang w:val="en-US" w:eastAsia="zh-CN"/>
        </w:rPr>
        <w:t>。</w:t>
      </w:r>
    </w:p>
    <w:p>
      <w:pPr>
        <w:keepNext w:val="0"/>
        <w:keepLines w:val="0"/>
        <w:pageBreakBefore w:val="0"/>
        <w:widowControl/>
        <w:kinsoku/>
        <w:wordWrap w:val="0"/>
        <w:overflowPunct/>
        <w:topLinePunct/>
        <w:autoSpaceDE/>
        <w:autoSpaceDN/>
        <w:bidi w:val="0"/>
        <w:adjustRightInd/>
        <w:snapToGrid w:val="0"/>
        <w:spacing w:before="60" w:after="60" w:line="336"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地点：</w:t>
      </w:r>
      <w:r>
        <w:rPr>
          <w:rFonts w:hint="eastAsia" w:ascii="宋体" w:hAnsi="宋体" w:eastAsia="宋体" w:cs="宋体"/>
          <w:color w:val="auto"/>
          <w:kern w:val="2"/>
          <w:sz w:val="21"/>
          <w:szCs w:val="21"/>
          <w:highlight w:val="none"/>
          <w:lang w:val="en-US" w:eastAsia="zh-CN" w:bidi="ar"/>
        </w:rPr>
        <w:t>广西</w:t>
      </w:r>
      <w:r>
        <w:rPr>
          <w:rFonts w:hint="eastAsia" w:ascii="宋体" w:hAnsi="宋体" w:eastAsia="宋体" w:cs="宋体"/>
          <w:i w:val="0"/>
          <w:iCs w:val="0"/>
          <w:caps w:val="0"/>
          <w:color w:val="auto"/>
          <w:spacing w:val="0"/>
          <w:sz w:val="21"/>
          <w:szCs w:val="21"/>
          <w:highlight w:val="none"/>
          <w:shd w:val="clear" w:color="auto" w:fill="auto"/>
        </w:rPr>
        <w:t>阳光采购服务平台（网址：https://gxygcg.ejy36</w:t>
      </w:r>
      <w:r>
        <w:rPr>
          <w:rFonts w:hint="eastAsia" w:ascii="宋体" w:hAnsi="宋体" w:eastAsia="宋体" w:cs="宋体"/>
          <w:i w:val="0"/>
          <w:iCs w:val="0"/>
          <w:caps w:val="0"/>
          <w:color w:val="auto"/>
          <w:spacing w:val="0"/>
          <w:sz w:val="21"/>
          <w:szCs w:val="21"/>
          <w:highlight w:val="none"/>
          <w:shd w:val="clear" w:color="auto" w:fill="auto"/>
          <w:lang w:eastAsia="zh-CN"/>
        </w:rPr>
        <w:t>4.</w:t>
      </w:r>
      <w:r>
        <w:rPr>
          <w:rFonts w:hint="eastAsia" w:ascii="宋体" w:hAnsi="宋体" w:eastAsia="宋体" w:cs="宋体"/>
          <w:color w:val="auto"/>
          <w:kern w:val="2"/>
          <w:sz w:val="21"/>
          <w:szCs w:val="21"/>
          <w:highlight w:val="none"/>
          <w:lang w:val="en-US" w:eastAsia="zh-CN" w:bidi="ar"/>
        </w:rPr>
        <w:t>com</w:t>
      </w:r>
      <w:r>
        <w:rPr>
          <w:rFonts w:hint="eastAsia" w:ascii="宋体" w:hAnsi="宋体" w:eastAsia="宋体" w:cs="宋体"/>
          <w:i w:val="0"/>
          <w:iCs w:val="0"/>
          <w:caps w:val="0"/>
          <w:color w:val="auto"/>
          <w:spacing w:val="0"/>
          <w:sz w:val="21"/>
          <w:szCs w:val="21"/>
          <w:highlight w:val="none"/>
          <w:shd w:val="clear" w:color="auto" w:fill="auto"/>
        </w:rPr>
        <w:t>）首页→登录</w:t>
      </w:r>
      <w:r>
        <w:rPr>
          <w:rFonts w:hint="eastAsia" w:ascii="宋体" w:hAnsi="宋体" w:eastAsia="宋体" w:cs="宋体"/>
          <w:color w:val="auto"/>
          <w:kern w:val="2"/>
          <w:sz w:val="21"/>
          <w:szCs w:val="21"/>
          <w:highlight w:val="none"/>
          <w:lang w:val="en-US" w:eastAsia="zh-CN" w:bidi="ar"/>
        </w:rPr>
        <w:t>入口→</w:t>
      </w:r>
      <w:r>
        <w:rPr>
          <w:rFonts w:hint="eastAsia" w:ascii="宋体" w:hAnsi="宋体" w:eastAsia="宋体" w:cs="宋体"/>
          <w:i w:val="0"/>
          <w:iCs w:val="0"/>
          <w:caps w:val="0"/>
          <w:color w:val="auto"/>
          <w:spacing w:val="0"/>
          <w:sz w:val="21"/>
          <w:szCs w:val="21"/>
          <w:highlight w:val="none"/>
          <w:shd w:val="clear" w:color="auto" w:fill="auto"/>
        </w:rPr>
        <w:t>供应商登录</w:t>
      </w:r>
      <w:r>
        <w:rPr>
          <w:rFonts w:hint="eastAsia" w:ascii="宋体" w:hAnsi="宋体" w:eastAsia="宋体" w:cs="宋体"/>
          <w:color w:val="auto"/>
          <w:kern w:val="2"/>
          <w:sz w:val="21"/>
          <w:szCs w:val="21"/>
          <w:highlight w:val="none"/>
          <w:lang w:val="en-US" w:eastAsia="zh-CN" w:bidi="ar"/>
        </w:rPr>
        <w:t>；</w:t>
      </w:r>
    </w:p>
    <w:p>
      <w:pPr>
        <w:keepNext w:val="0"/>
        <w:keepLines w:val="0"/>
        <w:pageBreakBefore w:val="0"/>
        <w:widowControl/>
        <w:kinsoku/>
        <w:wordWrap w:val="0"/>
        <w:overflowPunct/>
        <w:topLinePunct/>
        <w:autoSpaceDE/>
        <w:autoSpaceDN/>
        <w:bidi w:val="0"/>
        <w:adjustRightInd/>
        <w:snapToGrid w:val="0"/>
        <w:spacing w:before="60" w:after="60" w:line="336"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方式：</w:t>
      </w:r>
      <w:r>
        <w:rPr>
          <w:rFonts w:hint="eastAsia" w:ascii="宋体" w:hAnsi="宋体" w:eastAsia="宋体" w:cs="宋体"/>
          <w:i w:val="0"/>
          <w:iCs w:val="0"/>
          <w:caps w:val="0"/>
          <w:color w:val="auto"/>
          <w:spacing w:val="0"/>
          <w:sz w:val="21"/>
          <w:szCs w:val="21"/>
          <w:highlight w:val="none"/>
          <w:shd w:val="clear" w:color="auto" w:fill="auto"/>
        </w:rPr>
        <w:t>网上获取，供应商请登录</w:t>
      </w:r>
      <w:r>
        <w:rPr>
          <w:rFonts w:hint="eastAsia" w:ascii="宋体" w:hAnsi="宋体" w:eastAsia="宋体" w:cs="宋体"/>
          <w:color w:val="auto"/>
          <w:kern w:val="2"/>
          <w:sz w:val="21"/>
          <w:szCs w:val="21"/>
          <w:highlight w:val="none"/>
          <w:lang w:val="en-US" w:eastAsia="zh-CN" w:bidi="ar"/>
        </w:rPr>
        <w:t>广西</w:t>
      </w:r>
      <w:r>
        <w:rPr>
          <w:rFonts w:hint="eastAsia" w:ascii="宋体" w:hAnsi="宋体" w:eastAsia="宋体" w:cs="宋体"/>
          <w:i w:val="0"/>
          <w:iCs w:val="0"/>
          <w:caps w:val="0"/>
          <w:color w:val="auto"/>
          <w:spacing w:val="0"/>
          <w:sz w:val="21"/>
          <w:szCs w:val="21"/>
          <w:highlight w:val="none"/>
          <w:shd w:val="clear" w:color="auto" w:fill="auto"/>
        </w:rPr>
        <w:t>阳光</w:t>
      </w:r>
      <w:r>
        <w:rPr>
          <w:rFonts w:hint="eastAsia" w:ascii="宋体" w:hAnsi="宋体" w:eastAsia="宋体" w:cs="宋体"/>
          <w:color w:val="auto"/>
          <w:kern w:val="2"/>
          <w:sz w:val="21"/>
          <w:szCs w:val="21"/>
          <w:highlight w:val="none"/>
          <w:lang w:val="en-US" w:eastAsia="zh-CN" w:bidi="ar"/>
        </w:rPr>
        <w:t>采购</w:t>
      </w:r>
      <w:r>
        <w:rPr>
          <w:rFonts w:hint="eastAsia" w:ascii="宋体" w:hAnsi="宋体" w:eastAsia="宋体" w:cs="宋体"/>
          <w:i w:val="0"/>
          <w:iCs w:val="0"/>
          <w:caps w:val="0"/>
          <w:color w:val="auto"/>
          <w:spacing w:val="0"/>
          <w:sz w:val="21"/>
          <w:szCs w:val="21"/>
          <w:highlight w:val="none"/>
          <w:shd w:val="clear" w:color="auto" w:fill="auto"/>
        </w:rPr>
        <w:t>服务</w:t>
      </w:r>
      <w:r>
        <w:rPr>
          <w:rFonts w:hint="eastAsia" w:ascii="宋体" w:hAnsi="宋体" w:eastAsia="宋体" w:cs="宋体"/>
          <w:color w:val="auto"/>
          <w:kern w:val="2"/>
          <w:sz w:val="21"/>
          <w:szCs w:val="21"/>
          <w:highlight w:val="none"/>
          <w:lang w:val="en-US" w:eastAsia="zh-CN" w:bidi="ar"/>
        </w:rPr>
        <w:t>平台购买</w:t>
      </w:r>
      <w:r>
        <w:rPr>
          <w:rFonts w:hint="eastAsia" w:ascii="宋体" w:hAnsi="宋体" w:eastAsia="宋体" w:cs="宋体"/>
          <w:i w:val="0"/>
          <w:iCs w:val="0"/>
          <w:caps w:val="0"/>
          <w:color w:val="auto"/>
          <w:spacing w:val="0"/>
          <w:sz w:val="21"/>
          <w:szCs w:val="21"/>
          <w:highlight w:val="none"/>
          <w:shd w:val="clear" w:color="auto" w:fill="auto"/>
        </w:rPr>
        <w:t>及下载招标</w:t>
      </w:r>
      <w:r>
        <w:rPr>
          <w:rFonts w:hint="eastAsia" w:ascii="宋体" w:hAnsi="宋体" w:eastAsia="宋体" w:cs="宋体"/>
          <w:color w:val="auto"/>
          <w:kern w:val="2"/>
          <w:sz w:val="21"/>
          <w:szCs w:val="21"/>
          <w:highlight w:val="none"/>
          <w:lang w:val="en-US" w:eastAsia="zh-CN" w:bidi="ar"/>
        </w:rPr>
        <w:t>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60" w:beforeAutospacing="0" w:after="60" w:afterAutospacing="0" w:line="336" w:lineRule="auto"/>
        <w:ind w:left="0" w:right="0"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售价：</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300</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元，本公告包含的招标文件售价总和</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color w:val="auto"/>
          <w:szCs w:val="21"/>
          <w:highlight w:val="none"/>
          <w:lang w:val="en-US" w:eastAsia="zh-CN"/>
        </w:rPr>
        <w:t>招标</w:t>
      </w:r>
      <w:r>
        <w:rPr>
          <w:rFonts w:hint="eastAsia" w:ascii="宋体" w:hAnsi="宋体" w:eastAsia="宋体" w:cs="宋体"/>
          <w:color w:val="auto"/>
          <w:kern w:val="2"/>
          <w:sz w:val="21"/>
          <w:szCs w:val="21"/>
          <w:highlight w:val="none"/>
          <w:lang w:val="en-US" w:eastAsia="zh-CN" w:bidi="ar"/>
        </w:rPr>
        <w:t>文件</w:t>
      </w:r>
      <w:r>
        <w:rPr>
          <w:rFonts w:hint="eastAsia" w:ascii="宋体" w:hAnsi="宋体" w:eastAsia="宋体" w:cs="宋体"/>
          <w:b w:val="0"/>
          <w:bCs w:val="0"/>
          <w:color w:val="auto"/>
          <w:szCs w:val="21"/>
          <w:highlight w:val="none"/>
          <w:lang w:val="en-US" w:eastAsia="zh-CN"/>
        </w:rPr>
        <w:t>费人民币</w:t>
      </w:r>
      <w:r>
        <w:rPr>
          <w:rFonts w:hint="eastAsia" w:ascii="宋体" w:hAnsi="宋体" w:cs="宋体"/>
          <w:b w:val="0"/>
          <w:bCs w:val="0"/>
          <w:color w:val="auto"/>
          <w:szCs w:val="21"/>
          <w:highlight w:val="none"/>
          <w:lang w:val="en-US" w:eastAsia="zh-CN"/>
        </w:rPr>
        <w:t>100</w:t>
      </w:r>
      <w:r>
        <w:rPr>
          <w:rFonts w:hint="eastAsia" w:ascii="宋体" w:hAnsi="宋体" w:eastAsia="宋体" w:cs="宋体"/>
          <w:b w:val="0"/>
          <w:bCs w:val="0"/>
          <w:color w:val="auto"/>
          <w:szCs w:val="21"/>
          <w:highlight w:val="none"/>
          <w:lang w:val="en-US" w:eastAsia="zh-CN"/>
        </w:rPr>
        <w:t>元，平台服务费人民币200元，缴后</w:t>
      </w:r>
      <w:r>
        <w:rPr>
          <w:rFonts w:hint="eastAsia" w:ascii="宋体" w:hAnsi="宋体" w:eastAsia="宋体" w:cs="宋体"/>
          <w:color w:val="auto"/>
          <w:kern w:val="2"/>
          <w:sz w:val="21"/>
          <w:szCs w:val="21"/>
          <w:highlight w:val="none"/>
          <w:lang w:val="en-US" w:eastAsia="zh-CN" w:bidi="ar"/>
        </w:rPr>
        <w:t>不退）。</w:t>
      </w:r>
    </w:p>
    <w:p>
      <w:pPr>
        <w:keepNext w:val="0"/>
        <w:keepLines w:val="0"/>
        <w:pageBreakBefore w:val="0"/>
        <w:widowControl/>
        <w:kinsoku/>
        <w:wordWrap w:val="0"/>
        <w:overflowPunct/>
        <w:topLinePunct/>
        <w:autoSpaceDE/>
        <w:autoSpaceDN/>
        <w:bidi w:val="0"/>
        <w:adjustRightInd/>
        <w:snapToGrid w:val="0"/>
        <w:spacing w:before="60" w:after="60" w:line="336" w:lineRule="auto"/>
        <w:ind w:firstLine="420" w:firstLineChars="200"/>
        <w:textAlignment w:val="auto"/>
        <w:outlineLvl w:val="9"/>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缴费方式：</w:t>
      </w:r>
    </w:p>
    <w:p>
      <w:pPr>
        <w:keepNext w:val="0"/>
        <w:keepLines w:val="0"/>
        <w:pageBreakBefore w:val="0"/>
        <w:widowControl/>
        <w:kinsoku/>
        <w:wordWrap w:val="0"/>
        <w:overflowPunct/>
        <w:topLinePunct/>
        <w:autoSpaceDE/>
        <w:autoSpaceDN/>
        <w:bidi w:val="0"/>
        <w:adjustRightInd/>
        <w:snapToGrid w:val="0"/>
        <w:spacing w:before="60" w:after="60" w:line="336" w:lineRule="auto"/>
        <w:ind w:firstLine="420" w:firstLineChars="200"/>
        <w:textAlignment w:val="auto"/>
        <w:outlineLvl w:val="9"/>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①</w:t>
      </w:r>
      <w:r>
        <w:rPr>
          <w:rFonts w:hint="eastAsia" w:ascii="宋体" w:hAnsi="宋体" w:eastAsia="宋体" w:cs="宋体"/>
          <w:color w:val="auto"/>
          <w:kern w:val="2"/>
          <w:sz w:val="21"/>
          <w:szCs w:val="21"/>
          <w:highlight w:val="none"/>
          <w:lang w:val="en-US" w:eastAsia="zh-CN" w:bidi="ar"/>
        </w:rPr>
        <w:t>招标</w:t>
      </w:r>
      <w:r>
        <w:rPr>
          <w:rFonts w:hint="eastAsia" w:ascii="宋体" w:hAnsi="宋体" w:eastAsia="宋体" w:cs="宋体"/>
          <w:b w:val="0"/>
          <w:bCs w:val="0"/>
          <w:color w:val="auto"/>
          <w:szCs w:val="21"/>
          <w:highlight w:val="none"/>
          <w:lang w:val="en-US" w:eastAsia="zh-CN"/>
        </w:rPr>
        <w:t>文件工本费缴纳方式：供应商请登录“广西阳光</w:t>
      </w:r>
      <w:r>
        <w:rPr>
          <w:rFonts w:hint="eastAsia" w:ascii="宋体" w:hAnsi="宋体" w:eastAsia="宋体" w:cs="宋体"/>
          <w:color w:val="auto"/>
          <w:kern w:val="2"/>
          <w:sz w:val="21"/>
          <w:szCs w:val="21"/>
          <w:highlight w:val="none"/>
          <w:lang w:val="en-US" w:eastAsia="zh-CN" w:bidi="ar"/>
        </w:rPr>
        <w:t>采购</w:t>
      </w:r>
      <w:r>
        <w:rPr>
          <w:rFonts w:hint="eastAsia" w:ascii="宋体" w:hAnsi="宋体" w:eastAsia="宋体" w:cs="宋体"/>
          <w:b w:val="0"/>
          <w:bCs w:val="0"/>
          <w:color w:val="auto"/>
          <w:szCs w:val="21"/>
          <w:highlight w:val="none"/>
          <w:lang w:val="en-US" w:eastAsia="zh-CN"/>
        </w:rPr>
        <w:t>服务</w:t>
      </w:r>
      <w:r>
        <w:rPr>
          <w:rFonts w:hint="eastAsia" w:ascii="宋体" w:hAnsi="宋体" w:eastAsia="宋体" w:cs="宋体"/>
          <w:color w:val="auto"/>
          <w:kern w:val="2"/>
          <w:sz w:val="21"/>
          <w:szCs w:val="21"/>
          <w:highlight w:val="none"/>
          <w:lang w:val="en-US" w:eastAsia="zh-CN" w:bidi="ar"/>
        </w:rPr>
        <w:t>平台</w:t>
      </w:r>
      <w:r>
        <w:rPr>
          <w:rFonts w:hint="eastAsia" w:ascii="宋体" w:hAnsi="宋体" w:eastAsia="宋体" w:cs="宋体"/>
          <w:b w:val="0"/>
          <w:bCs w:val="0"/>
          <w:color w:val="auto"/>
          <w:szCs w:val="21"/>
          <w:highlight w:val="none"/>
          <w:lang w:val="en-US" w:eastAsia="zh-CN"/>
        </w:rPr>
        <w:t>”点击“我的项目-投标阶段-招标文件”在“文件服务费支付状态”列表中点击“去支付”，根据系统提示进行操作。本项目</w:t>
      </w:r>
      <w:r>
        <w:rPr>
          <w:rFonts w:hint="eastAsia" w:ascii="宋体" w:hAnsi="宋体" w:eastAsia="宋体" w:cs="宋体"/>
          <w:color w:val="auto"/>
          <w:kern w:val="2"/>
          <w:sz w:val="21"/>
          <w:szCs w:val="21"/>
          <w:highlight w:val="none"/>
          <w:lang w:val="en-US" w:eastAsia="zh-CN" w:bidi="ar"/>
        </w:rPr>
        <w:t>招标</w:t>
      </w:r>
      <w:r>
        <w:rPr>
          <w:rFonts w:hint="eastAsia" w:ascii="宋体" w:hAnsi="宋体" w:eastAsia="宋体" w:cs="宋体"/>
          <w:b w:val="0"/>
          <w:bCs w:val="0"/>
          <w:color w:val="auto"/>
          <w:szCs w:val="21"/>
          <w:highlight w:val="none"/>
          <w:lang w:val="en-US" w:eastAsia="zh-CN"/>
        </w:rPr>
        <w:t>文件工本费通过“电子钱包”线上支付，如果钱包账户中无可用余额，需要充值对应余额方可支付。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60" w:beforeAutospacing="0" w:after="60" w:afterAutospacing="0" w:line="336" w:lineRule="auto"/>
        <w:ind w:left="0" w:right="0"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b w:val="0"/>
          <w:bCs w:val="0"/>
          <w:color w:val="auto"/>
          <w:szCs w:val="21"/>
          <w:highlight w:val="none"/>
          <w:lang w:val="en-US" w:eastAsia="zh-CN"/>
        </w:rPr>
        <w:t>②钱包充值方式：点击“如何充值”，根据提示信息进行充值操作。注意：需要使用供应商基本信息中绑定的银行卡</w:t>
      </w:r>
      <w:r>
        <w:rPr>
          <w:rFonts w:hint="eastAsia" w:ascii="宋体" w:hAnsi="宋体" w:eastAsia="宋体" w:cs="宋体"/>
          <w:color w:val="auto"/>
          <w:kern w:val="2"/>
          <w:sz w:val="21"/>
          <w:szCs w:val="21"/>
          <w:highlight w:val="none"/>
          <w:lang w:val="en-US" w:eastAsia="zh-CN" w:bidi="ar"/>
        </w:rPr>
        <w:t>进行</w:t>
      </w:r>
      <w:r>
        <w:rPr>
          <w:rFonts w:hint="eastAsia" w:ascii="宋体" w:hAnsi="宋体" w:eastAsia="宋体" w:cs="宋体"/>
          <w:b w:val="0"/>
          <w:bCs w:val="0"/>
          <w:color w:val="auto"/>
          <w:szCs w:val="21"/>
          <w:highlight w:val="none"/>
          <w:lang w:val="en-US" w:eastAsia="zh-CN"/>
        </w:rPr>
        <w:t>充值。</w:t>
      </w:r>
    </w:p>
    <w:p>
      <w:pPr>
        <w:keepNext w:val="0"/>
        <w:keepLines w:val="0"/>
        <w:pageBreakBefore w:val="0"/>
        <w:widowControl/>
        <w:kinsoku/>
        <w:wordWrap w:val="0"/>
        <w:overflowPunct/>
        <w:topLinePunct/>
        <w:autoSpaceDE/>
        <w:autoSpaceDN/>
        <w:bidi w:val="0"/>
        <w:adjustRightInd/>
        <w:snapToGrid w:val="0"/>
        <w:spacing w:before="60" w:after="60" w:line="336" w:lineRule="auto"/>
        <w:ind w:firstLine="420" w:firstLineChars="200"/>
        <w:textAlignment w:val="auto"/>
        <w:outlineLvl w:val="9"/>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③</w:t>
      </w:r>
      <w:r>
        <w:rPr>
          <w:rFonts w:hint="eastAsia" w:ascii="宋体" w:hAnsi="宋体" w:eastAsia="宋体" w:cs="宋体"/>
          <w:color w:val="auto"/>
          <w:kern w:val="2"/>
          <w:sz w:val="21"/>
          <w:szCs w:val="21"/>
          <w:highlight w:val="none"/>
          <w:lang w:val="en-US" w:eastAsia="zh-CN" w:bidi="ar"/>
        </w:rPr>
        <w:t>平台</w:t>
      </w:r>
      <w:r>
        <w:rPr>
          <w:rFonts w:hint="eastAsia" w:ascii="宋体" w:hAnsi="宋体" w:eastAsia="宋体" w:cs="宋体"/>
          <w:b w:val="0"/>
          <w:bCs w:val="0"/>
          <w:color w:val="auto"/>
          <w:szCs w:val="21"/>
          <w:highlight w:val="none"/>
          <w:lang w:val="en-US" w:eastAsia="zh-CN"/>
        </w:rPr>
        <w:t>服务费缴纳方式请参考招标文件工本费缴纳方式。</w:t>
      </w:r>
    </w:p>
    <w:p>
      <w:pPr>
        <w:keepNext w:val="0"/>
        <w:keepLines w:val="0"/>
        <w:pageBreakBefore w:val="0"/>
        <w:widowControl/>
        <w:kinsoku/>
        <w:wordWrap w:val="0"/>
        <w:overflowPunct/>
        <w:topLinePunct/>
        <w:autoSpaceDE/>
        <w:autoSpaceDN/>
        <w:bidi w:val="0"/>
        <w:adjustRightInd/>
        <w:snapToGrid w:val="0"/>
        <w:spacing w:before="60" w:after="60" w:line="336" w:lineRule="auto"/>
        <w:ind w:firstLine="420" w:firstLineChars="200"/>
        <w:textAlignment w:val="auto"/>
        <w:outlineLvl w:val="9"/>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④供应商操作手册超链接：https://www.ejy364.com/newsinfo?infoid=f68edcb1-3b6b-42c0-a52c-f3056a61d9fe</w:t>
      </w:r>
    </w:p>
    <w:p>
      <w:pPr>
        <w:keepNext w:val="0"/>
        <w:keepLines w:val="0"/>
        <w:pageBreakBefore w:val="0"/>
        <w:widowControl/>
        <w:kinsoku/>
        <w:wordWrap w:val="0"/>
        <w:overflowPunct/>
        <w:topLinePunct/>
        <w:autoSpaceDE/>
        <w:autoSpaceDN/>
        <w:bidi w:val="0"/>
        <w:adjustRightInd/>
        <w:snapToGrid w:val="0"/>
        <w:spacing w:before="60" w:after="60" w:line="336" w:lineRule="auto"/>
        <w:ind w:firstLine="420" w:firstLineChars="200"/>
        <w:textAlignment w:val="auto"/>
        <w:outlineLvl w:val="9"/>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（注意事项：此网址为超链接，请注意复制方式，点击“复制超链接”）</w:t>
      </w:r>
    </w:p>
    <w:p>
      <w:pPr>
        <w:keepNext w:val="0"/>
        <w:keepLines w:val="0"/>
        <w:pageBreakBefore w:val="0"/>
        <w:widowControl/>
        <w:kinsoku/>
        <w:wordWrap w:val="0"/>
        <w:overflowPunct/>
        <w:topLinePunct/>
        <w:autoSpaceDE/>
        <w:autoSpaceDN/>
        <w:bidi w:val="0"/>
        <w:adjustRightInd/>
        <w:snapToGrid w:val="0"/>
        <w:spacing w:before="60" w:after="60" w:line="336" w:lineRule="auto"/>
        <w:ind w:firstLine="420" w:firstLineChars="200"/>
        <w:textAlignment w:val="auto"/>
        <w:outlineLvl w:val="9"/>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（超链接打开方式：按住键盘中的Ctrl键，鼠标单击网址以跟踪连接。）</w:t>
      </w:r>
    </w:p>
    <w:p>
      <w:pPr>
        <w:keepNext w:val="0"/>
        <w:keepLines w:val="0"/>
        <w:pageBreakBefore w:val="0"/>
        <w:widowControl/>
        <w:kinsoku/>
        <w:wordWrap w:val="0"/>
        <w:overflowPunct/>
        <w:topLinePunct/>
        <w:autoSpaceDE/>
        <w:autoSpaceDN/>
        <w:bidi w:val="0"/>
        <w:adjustRightInd/>
        <w:snapToGrid w:val="0"/>
        <w:spacing w:line="336" w:lineRule="auto"/>
        <w:ind w:firstLine="420" w:firstLineChars="200"/>
        <w:textAlignment w:val="auto"/>
        <w:outlineLvl w:val="9"/>
        <w:rPr>
          <w:rFonts w:hint="eastAsia" w:ascii="宋体" w:hAnsi="宋体" w:eastAsia="宋体" w:cs="宋体"/>
          <w:b w:val="0"/>
          <w:bCs w:val="0"/>
          <w:color w:val="auto"/>
          <w:szCs w:val="21"/>
          <w:highlight w:val="none"/>
          <w:lang w:val="en-US" w:eastAsia="zh-CN"/>
        </w:rPr>
      </w:pPr>
      <w:r>
        <w:rPr>
          <w:rFonts w:hint="eastAsia" w:ascii="宋体" w:hAnsi="宋体" w:eastAsia="宋体" w:cs="宋体"/>
          <w:color w:val="auto"/>
          <w:kern w:val="2"/>
          <w:sz w:val="21"/>
          <w:szCs w:val="21"/>
          <w:highlight w:val="none"/>
          <w:lang w:val="en-US" w:eastAsia="zh-CN" w:bidi="ar"/>
        </w:rPr>
        <w:t>广西</w:t>
      </w:r>
      <w:r>
        <w:rPr>
          <w:rFonts w:hint="eastAsia" w:ascii="宋体" w:hAnsi="宋体" w:eastAsia="宋体" w:cs="宋体"/>
          <w:b w:val="0"/>
          <w:bCs w:val="0"/>
          <w:color w:val="auto"/>
          <w:szCs w:val="21"/>
          <w:highlight w:val="none"/>
          <w:lang w:val="en-US" w:eastAsia="zh-CN"/>
        </w:rPr>
        <w:t>阳光</w:t>
      </w:r>
      <w:r>
        <w:rPr>
          <w:rFonts w:hint="eastAsia" w:ascii="宋体" w:hAnsi="宋体" w:eastAsia="宋体" w:cs="宋体"/>
          <w:color w:val="auto"/>
          <w:kern w:val="2"/>
          <w:sz w:val="21"/>
          <w:szCs w:val="21"/>
          <w:highlight w:val="none"/>
          <w:lang w:val="en-US" w:eastAsia="zh-CN" w:bidi="ar"/>
        </w:rPr>
        <w:t>采购</w:t>
      </w:r>
      <w:r>
        <w:rPr>
          <w:rFonts w:hint="eastAsia" w:ascii="宋体" w:hAnsi="宋体" w:eastAsia="宋体" w:cs="宋体"/>
          <w:b w:val="0"/>
          <w:bCs w:val="0"/>
          <w:color w:val="auto"/>
          <w:szCs w:val="21"/>
          <w:highlight w:val="none"/>
          <w:lang w:val="en-US" w:eastAsia="zh-CN"/>
        </w:rPr>
        <w:t>服务</w:t>
      </w:r>
      <w:r>
        <w:rPr>
          <w:rFonts w:hint="eastAsia" w:ascii="宋体" w:hAnsi="宋体" w:eastAsia="宋体" w:cs="宋体"/>
          <w:color w:val="auto"/>
          <w:kern w:val="2"/>
          <w:sz w:val="21"/>
          <w:szCs w:val="21"/>
          <w:highlight w:val="none"/>
          <w:lang w:val="en-US" w:eastAsia="zh-CN" w:bidi="ar"/>
        </w:rPr>
        <w:t>平台</w:t>
      </w:r>
      <w:r>
        <w:rPr>
          <w:rFonts w:hint="eastAsia" w:ascii="宋体" w:hAnsi="宋体" w:eastAsia="宋体" w:cs="宋体"/>
          <w:b w:val="0"/>
          <w:bCs w:val="0"/>
          <w:color w:val="auto"/>
          <w:szCs w:val="21"/>
          <w:highlight w:val="none"/>
          <w:lang w:val="en-US" w:eastAsia="zh-CN"/>
        </w:rPr>
        <w:t>注册、使用咨询</w:t>
      </w:r>
      <w:r>
        <w:rPr>
          <w:rFonts w:hint="eastAsia" w:ascii="宋体" w:hAnsi="宋体" w:eastAsia="宋体" w:cs="宋体"/>
          <w:color w:val="auto"/>
          <w:kern w:val="2"/>
          <w:sz w:val="21"/>
          <w:szCs w:val="21"/>
          <w:highlight w:val="none"/>
          <w:lang w:val="en-US" w:eastAsia="zh-CN" w:bidi="ar"/>
        </w:rPr>
        <w:t>电话：0771-</w:t>
      </w:r>
      <w:r>
        <w:rPr>
          <w:rFonts w:hint="eastAsia" w:ascii="宋体" w:hAnsi="宋体" w:eastAsia="宋体" w:cs="宋体"/>
          <w:b w:val="0"/>
          <w:bCs w:val="0"/>
          <w:color w:val="auto"/>
          <w:szCs w:val="21"/>
          <w:highlight w:val="none"/>
          <w:lang w:val="en-US" w:eastAsia="zh-CN"/>
        </w:rPr>
        <w:t>5581051、5715031</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Cs w:val="21"/>
          <w:highlight w:val="none"/>
          <w:lang w:val="en-US" w:eastAsia="zh-CN"/>
        </w:rPr>
        <w:t>客服咨询电话：4008289082。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四、响应文件提交</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截止时间：</w:t>
      </w:r>
      <w:r>
        <w:rPr>
          <w:rFonts w:hint="eastAsia" w:ascii="宋体" w:hAnsi="宋体" w:eastAsia="宋体" w:cs="宋体"/>
          <w:color w:val="auto"/>
          <w:sz w:val="21"/>
          <w:szCs w:val="21"/>
          <w:highlight w:val="none"/>
          <w:u w:val="single"/>
          <w:lang w:val="en-US" w:eastAsia="zh-CN"/>
        </w:rPr>
        <w:t xml:space="preserve"> 2024</w:t>
      </w:r>
      <w:r>
        <w:rPr>
          <w:rFonts w:hint="eastAsia" w:ascii="宋体" w:hAnsi="宋体" w:eastAsia="宋体" w:cs="宋体"/>
          <w:bCs/>
          <w:color w:val="auto"/>
          <w:sz w:val="21"/>
          <w:szCs w:val="21"/>
          <w:highlight w:val="none"/>
          <w:u w:val="single"/>
        </w:rPr>
        <w:t>年</w:t>
      </w:r>
      <w:r>
        <w:rPr>
          <w:rFonts w:hint="eastAsia" w:ascii="宋体" w:hAnsi="宋体" w:cs="宋体"/>
          <w:bCs/>
          <w:color w:val="auto"/>
          <w:sz w:val="21"/>
          <w:szCs w:val="21"/>
          <w:highlight w:val="none"/>
          <w:u w:val="single"/>
          <w:lang w:val="en-US" w:eastAsia="zh-CN"/>
        </w:rPr>
        <w:t>7</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15</w:t>
      </w:r>
      <w:r>
        <w:rPr>
          <w:rFonts w:hint="eastAsia" w:ascii="宋体" w:hAnsi="宋体" w:eastAsia="宋体" w:cs="宋体"/>
          <w:bCs/>
          <w:color w:val="auto"/>
          <w:sz w:val="21"/>
          <w:szCs w:val="21"/>
          <w:highlight w:val="none"/>
          <w:u w:val="single"/>
        </w:rPr>
        <w:t>日</w:t>
      </w:r>
      <w:r>
        <w:rPr>
          <w:rFonts w:hint="eastAsia" w:ascii="宋体" w:hAnsi="宋体" w:eastAsia="宋体" w:cs="宋体"/>
          <w:bCs/>
          <w:color w:val="auto"/>
          <w:sz w:val="21"/>
          <w:szCs w:val="21"/>
          <w:highlight w:val="none"/>
          <w:u w:val="single"/>
          <w:lang w:val="en-US" w:eastAsia="zh-CN"/>
        </w:rPr>
        <w:t>上午09点30分</w:t>
      </w:r>
      <w:r>
        <w:rPr>
          <w:rFonts w:hint="eastAsia" w:ascii="宋体" w:hAnsi="宋体" w:eastAsia="宋体" w:cs="宋体"/>
          <w:bCs/>
          <w:color w:val="auto"/>
          <w:sz w:val="21"/>
          <w:szCs w:val="21"/>
          <w:highlight w:val="none"/>
        </w:rPr>
        <w:t>（北京时间）</w:t>
      </w:r>
    </w:p>
    <w:p>
      <w:pPr>
        <w:keepNext w:val="0"/>
        <w:keepLines w:val="0"/>
        <w:pageBreakBefore w:val="0"/>
        <w:shd w:val="clear" w:color="auto" w:fill="auto"/>
        <w:kinsoku/>
        <w:overflowPunct/>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地点：</w:t>
      </w:r>
      <w:r>
        <w:rPr>
          <w:rFonts w:hint="eastAsia" w:ascii="宋体" w:hAnsi="宋体" w:eastAsia="宋体" w:cs="宋体"/>
          <w:i w:val="0"/>
          <w:iCs w:val="0"/>
          <w:caps w:val="0"/>
          <w:color w:val="auto"/>
          <w:spacing w:val="0"/>
          <w:sz w:val="21"/>
          <w:szCs w:val="21"/>
          <w:highlight w:val="none"/>
          <w:shd w:val="clear" w:color="auto" w:fill="FFFFFF"/>
        </w:rPr>
        <w:t>南宁市青秀区枫林路18号广西国资交易中心（具体以电子屏幕开标项目场地安排信息为准）</w:t>
      </w:r>
      <w:r>
        <w:rPr>
          <w:rFonts w:hint="eastAsia" w:ascii="宋体" w:hAnsi="宋体" w:eastAsia="宋体" w:cs="宋体"/>
          <w:color w:val="auto"/>
          <w:szCs w:val="21"/>
          <w:highlight w:val="none"/>
        </w:rPr>
        <w:t>，逾期送达的将予以拒收。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五、开启</w:t>
      </w:r>
    </w:p>
    <w:p>
      <w:pPr>
        <w:keepNext w:val="0"/>
        <w:keepLines w:val="0"/>
        <w:pageBreakBefore w:val="0"/>
        <w:shd w:val="clear" w:color="auto" w:fill="auto"/>
        <w:kinsoku/>
        <w:overflowPunct/>
        <w:autoSpaceDE/>
        <w:autoSpaceDN/>
        <w:bidi w:val="0"/>
        <w:spacing w:line="440" w:lineRule="exact"/>
        <w:ind w:firstLine="420" w:firstLineChars="200"/>
        <w:textAlignment w:val="auto"/>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rPr>
        <w:t>时间：</w:t>
      </w:r>
      <w:r>
        <w:rPr>
          <w:rFonts w:hint="eastAsia" w:ascii="宋体" w:hAnsi="宋体" w:eastAsia="宋体" w:cs="宋体"/>
          <w:b/>
          <w:bCs w:val="0"/>
          <w:color w:val="auto"/>
          <w:szCs w:val="21"/>
          <w:highlight w:val="none"/>
          <w:u w:val="single"/>
          <w:lang w:val="en-US" w:eastAsia="zh-CN"/>
        </w:rPr>
        <w:t>2024</w:t>
      </w:r>
      <w:r>
        <w:rPr>
          <w:rFonts w:hint="eastAsia" w:ascii="宋体" w:hAnsi="宋体" w:eastAsia="宋体" w:cs="宋体"/>
          <w:b/>
          <w:bCs w:val="0"/>
          <w:color w:val="auto"/>
          <w:szCs w:val="21"/>
          <w:highlight w:val="none"/>
          <w:u w:val="single"/>
        </w:rPr>
        <w:t>年</w:t>
      </w:r>
      <w:r>
        <w:rPr>
          <w:rFonts w:hint="eastAsia" w:ascii="宋体" w:hAnsi="宋体" w:cs="宋体"/>
          <w:b/>
          <w:bCs w:val="0"/>
          <w:color w:val="auto"/>
          <w:szCs w:val="21"/>
          <w:highlight w:val="none"/>
          <w:u w:val="single"/>
          <w:lang w:val="en-US" w:eastAsia="zh-CN"/>
        </w:rPr>
        <w:t>7</w:t>
      </w:r>
      <w:r>
        <w:rPr>
          <w:rFonts w:hint="eastAsia" w:ascii="宋体" w:hAnsi="宋体" w:eastAsia="宋体" w:cs="宋体"/>
          <w:b/>
          <w:bCs w:val="0"/>
          <w:color w:val="auto"/>
          <w:szCs w:val="21"/>
          <w:highlight w:val="none"/>
          <w:u w:val="single"/>
          <w:lang w:val="en-US" w:eastAsia="zh-CN"/>
        </w:rPr>
        <w:t>月</w:t>
      </w:r>
      <w:r>
        <w:rPr>
          <w:rFonts w:hint="eastAsia" w:ascii="宋体" w:hAnsi="宋体" w:cs="宋体"/>
          <w:b/>
          <w:bCs w:val="0"/>
          <w:color w:val="auto"/>
          <w:szCs w:val="21"/>
          <w:highlight w:val="none"/>
          <w:u w:val="single"/>
          <w:lang w:val="en-US" w:eastAsia="zh-CN"/>
        </w:rPr>
        <w:t>15</w:t>
      </w:r>
      <w:r>
        <w:rPr>
          <w:rFonts w:hint="eastAsia" w:ascii="宋体" w:hAnsi="宋体" w:eastAsia="宋体" w:cs="宋体"/>
          <w:b/>
          <w:bCs w:val="0"/>
          <w:color w:val="auto"/>
          <w:szCs w:val="21"/>
          <w:highlight w:val="none"/>
          <w:u w:val="single"/>
          <w:lang w:val="en-US" w:eastAsia="zh-CN"/>
        </w:rPr>
        <w:t>日上午09点30分</w:t>
      </w:r>
      <w:r>
        <w:rPr>
          <w:rFonts w:hint="eastAsia" w:ascii="宋体" w:hAnsi="宋体" w:eastAsia="宋体" w:cs="宋体"/>
          <w:b/>
          <w:bCs/>
          <w:color w:val="auto"/>
          <w:szCs w:val="21"/>
          <w:highlight w:val="none"/>
        </w:rPr>
        <w:t>后（北京时间）</w:t>
      </w:r>
    </w:p>
    <w:p>
      <w:pPr>
        <w:keepNext w:val="0"/>
        <w:keepLines w:val="0"/>
        <w:pageBreakBefore w:val="0"/>
        <w:shd w:val="clear" w:color="auto" w:fill="auto"/>
        <w:kinsoku/>
        <w:overflowPunct/>
        <w:autoSpaceDE/>
        <w:autoSpaceDN/>
        <w:bidi w:val="0"/>
        <w:spacing w:line="440" w:lineRule="exact"/>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Cs w:val="21"/>
          <w:highlight w:val="none"/>
        </w:rPr>
        <w:t>地点：</w:t>
      </w:r>
      <w:r>
        <w:rPr>
          <w:rFonts w:hint="eastAsia" w:ascii="宋体" w:hAnsi="宋体" w:eastAsia="宋体" w:cs="宋体"/>
          <w:i w:val="0"/>
          <w:iCs w:val="0"/>
          <w:caps w:val="0"/>
          <w:color w:val="auto"/>
          <w:spacing w:val="0"/>
          <w:sz w:val="21"/>
          <w:szCs w:val="21"/>
          <w:highlight w:val="none"/>
          <w:shd w:val="clear" w:color="auto" w:fill="FFFFFF"/>
        </w:rPr>
        <w:t>南宁市青秀区枫林路18号广西国资交易中心</w:t>
      </w:r>
      <w:r>
        <w:rPr>
          <w:rFonts w:hint="eastAsia" w:ascii="宋体" w:hAnsi="宋体" w:eastAsia="宋体" w:cs="宋体"/>
          <w:i w:val="0"/>
          <w:iCs w:val="0"/>
          <w:caps w:val="0"/>
          <w:color w:val="auto"/>
          <w:spacing w:val="0"/>
          <w:sz w:val="21"/>
          <w:szCs w:val="21"/>
          <w:highlight w:val="none"/>
          <w:shd w:val="clear" w:color="auto" w:fill="FFFFFF"/>
          <w:lang w:val="en-US" w:eastAsia="zh-CN"/>
        </w:rPr>
        <w:t>评标室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六、公告期限</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自本公告发布之日起3个工作日。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七、其他补充事宜</w:t>
      </w:r>
    </w:p>
    <w:p>
      <w:pPr>
        <w:keepNext w:val="0"/>
        <w:keepLines w:val="0"/>
        <w:pageBreakBefore w:val="0"/>
        <w:shd w:val="clear" w:color="auto" w:fill="auto"/>
        <w:kinsoku/>
        <w:overflowPunct/>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1.公告媒体：</w:t>
      </w:r>
      <w:r>
        <w:rPr>
          <w:rFonts w:hint="eastAsia" w:ascii="宋体" w:hAnsi="宋体" w:eastAsia="宋体" w:cs="宋体"/>
          <w:b w:val="0"/>
          <w:bCs w:val="0"/>
          <w:color w:val="auto"/>
          <w:sz w:val="21"/>
          <w:szCs w:val="21"/>
          <w:highlight w:val="none"/>
          <w:lang w:eastAsia="zh-CN"/>
        </w:rPr>
        <w:t>国家税务总局广西壮族自治区税务局南宁市频道（http://guangxi.chinatax.gov.cn/nanning/）、</w:t>
      </w:r>
      <w:r>
        <w:rPr>
          <w:rFonts w:hint="eastAsia" w:ascii="宋体" w:hAnsi="宋体" w:eastAsia="宋体" w:cs="宋体"/>
          <w:b w:val="0"/>
          <w:bCs w:val="0"/>
          <w:color w:val="auto"/>
          <w:sz w:val="21"/>
          <w:szCs w:val="21"/>
          <w:highlight w:val="none"/>
        </w:rPr>
        <w:t>www.guangxibid.com.cn（广西招标网）</w:t>
      </w:r>
      <w:r>
        <w:rPr>
          <w:rFonts w:hint="eastAsia" w:ascii="宋体" w:hAnsi="宋体" w:eastAsia="宋体" w:cs="宋体"/>
          <w:b w:val="0"/>
          <w:bCs w:val="0"/>
          <w:color w:val="auto"/>
          <w:sz w:val="21"/>
          <w:szCs w:val="21"/>
          <w:highlight w:val="none"/>
          <w:lang w:eastAsia="zh-CN"/>
        </w:rPr>
        <w:t>、https://ygcg.bbwcq.com/（广西阳光采购服务平台）</w:t>
      </w:r>
      <w:r>
        <w:rPr>
          <w:rFonts w:hint="eastAsia" w:ascii="宋体" w:hAnsi="宋体" w:eastAsia="宋体" w:cs="宋体"/>
          <w:color w:val="auto"/>
          <w:szCs w:val="21"/>
          <w:highlight w:val="none"/>
        </w:rPr>
        <w:t>。</w:t>
      </w:r>
    </w:p>
    <w:p>
      <w:pPr>
        <w:pStyle w:val="10"/>
        <w:keepNext w:val="0"/>
        <w:keepLines w:val="0"/>
        <w:pageBreakBefore w:val="0"/>
        <w:widowControl w:val="0"/>
        <w:shd w:val="clear" w:color="auto" w:fill="auto"/>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2.本项目需要落实的政府采购政策：</w:t>
      </w:r>
    </w:p>
    <w:p>
      <w:pPr>
        <w:pStyle w:val="10"/>
        <w:keepNext w:val="0"/>
        <w:keepLines w:val="0"/>
        <w:pageBreakBefore w:val="0"/>
        <w:widowControl w:val="0"/>
        <w:shd w:val="clear" w:color="auto" w:fill="auto"/>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（1）政府采购促进中小企业发展。</w:t>
      </w:r>
    </w:p>
    <w:p>
      <w:pPr>
        <w:pStyle w:val="10"/>
        <w:keepNext w:val="0"/>
        <w:keepLines w:val="0"/>
        <w:pageBreakBefore w:val="0"/>
        <w:widowControl w:val="0"/>
        <w:shd w:val="clear" w:color="auto" w:fill="auto"/>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（2）政府采购促进残疾人就业政策。</w:t>
      </w:r>
    </w:p>
    <w:p>
      <w:pPr>
        <w:pStyle w:val="10"/>
        <w:keepNext w:val="0"/>
        <w:keepLines w:val="0"/>
        <w:pageBreakBefore w:val="0"/>
        <w:widowControl w:val="0"/>
        <w:shd w:val="clear" w:color="auto" w:fill="auto"/>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（3）政府采购支持监狱企业发展。</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highlight w:val="none"/>
        </w:rPr>
        <w:t>行业划分：</w:t>
      </w:r>
      <w:r>
        <w:rPr>
          <w:rFonts w:hint="eastAsia" w:ascii="宋体" w:hAnsi="宋体" w:eastAsia="宋体" w:cs="宋体"/>
          <w:color w:val="auto"/>
          <w:highlight w:val="none"/>
          <w:lang w:val="en-US" w:eastAsia="zh-CN"/>
        </w:rPr>
        <w:t>其</w:t>
      </w:r>
      <w:r>
        <w:rPr>
          <w:rFonts w:hint="eastAsia" w:ascii="宋体" w:hAnsi="宋体" w:eastAsia="宋体" w:cs="宋体"/>
          <w:color w:val="auto"/>
          <w:highlight w:val="none"/>
        </w:rPr>
        <w:t>他</w:t>
      </w:r>
      <w:r>
        <w:rPr>
          <w:rFonts w:hint="eastAsia" w:ascii="宋体" w:hAnsi="宋体" w:eastAsia="宋体" w:cs="宋体"/>
          <w:color w:val="auto"/>
          <w:highlight w:val="none"/>
          <w:lang w:val="en-US" w:eastAsia="zh-CN"/>
        </w:rPr>
        <w:t>未列明行业</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4.磋商保证金：金额为人民币</w:t>
      </w:r>
      <w:r>
        <w:rPr>
          <w:rFonts w:hint="eastAsia" w:ascii="宋体" w:hAnsi="宋体" w:cs="宋体"/>
          <w:color w:val="auto"/>
          <w:szCs w:val="21"/>
          <w:highlight w:val="none"/>
          <w:lang w:val="en-US" w:eastAsia="zh-CN"/>
        </w:rPr>
        <w:t>伍</w:t>
      </w:r>
      <w:r>
        <w:rPr>
          <w:rFonts w:hint="eastAsia" w:ascii="宋体" w:hAnsi="宋体" w:eastAsia="宋体" w:cs="宋体"/>
          <w:color w:val="auto"/>
          <w:szCs w:val="21"/>
          <w:highlight w:val="none"/>
          <w:lang w:eastAsia="zh-CN"/>
        </w:rPr>
        <w:t>仟</w:t>
      </w:r>
      <w:r>
        <w:rPr>
          <w:rFonts w:hint="eastAsia" w:ascii="宋体" w:hAnsi="宋体" w:eastAsia="宋体" w:cs="宋体"/>
          <w:color w:val="auto"/>
          <w:szCs w:val="21"/>
          <w:highlight w:val="none"/>
        </w:rPr>
        <w:t>元整（¥</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000.00元）</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shd w:val="clear" w:color="auto" w:fill="FFFFFF"/>
          <w:lang w:bidi="ar"/>
        </w:rPr>
        <w:t>5.磋商保证金交纳的指定账号：</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收款人户名：广西建设工程机电设备招标中心有限公司</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开户银行：招商银行南宁分行营业部</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银行账号： 7719 0142 3310 201</w:t>
      </w:r>
    </w:p>
    <w:p>
      <w:pPr>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kern w:val="2"/>
          <w:sz w:val="21"/>
          <w:szCs w:val="21"/>
          <w:highlight w:val="none"/>
          <w:lang w:val="en-US" w:eastAsia="zh-CN" w:bidi="ar-SA"/>
        </w:rPr>
        <w:t>6.</w:t>
      </w:r>
      <w:r>
        <w:rPr>
          <w:rFonts w:hint="eastAsia" w:ascii="宋体" w:hAnsi="宋体" w:eastAsia="宋体" w:cs="宋体"/>
          <w:color w:val="auto"/>
          <w:szCs w:val="21"/>
          <w:highlight w:val="none"/>
        </w:rPr>
        <w:t>磋商时间及地点：于</w:t>
      </w:r>
      <w:r>
        <w:rPr>
          <w:rFonts w:hint="eastAsia" w:ascii="宋体" w:hAnsi="宋体" w:eastAsia="宋体" w:cs="宋体"/>
          <w:b/>
          <w:bCs w:val="0"/>
          <w:color w:val="auto"/>
          <w:szCs w:val="21"/>
          <w:highlight w:val="none"/>
          <w:u w:val="single"/>
          <w:lang w:val="en-US" w:eastAsia="zh-CN"/>
        </w:rPr>
        <w:t>2024</w:t>
      </w:r>
      <w:r>
        <w:rPr>
          <w:rFonts w:hint="eastAsia" w:ascii="宋体" w:hAnsi="宋体" w:eastAsia="宋体" w:cs="宋体"/>
          <w:b/>
          <w:bCs w:val="0"/>
          <w:color w:val="auto"/>
          <w:szCs w:val="21"/>
          <w:highlight w:val="none"/>
          <w:u w:val="single"/>
        </w:rPr>
        <w:t>年</w:t>
      </w:r>
      <w:r>
        <w:rPr>
          <w:rFonts w:hint="eastAsia" w:ascii="宋体" w:hAnsi="宋体" w:cs="宋体"/>
          <w:b/>
          <w:bCs w:val="0"/>
          <w:color w:val="auto"/>
          <w:szCs w:val="21"/>
          <w:highlight w:val="none"/>
          <w:u w:val="single"/>
          <w:lang w:val="en-US" w:eastAsia="zh-CN"/>
        </w:rPr>
        <w:t>7</w:t>
      </w:r>
      <w:r>
        <w:rPr>
          <w:rFonts w:hint="eastAsia" w:ascii="宋体" w:hAnsi="宋体" w:eastAsia="宋体" w:cs="宋体"/>
          <w:b/>
          <w:bCs w:val="0"/>
          <w:color w:val="auto"/>
          <w:szCs w:val="21"/>
          <w:highlight w:val="none"/>
          <w:u w:val="single"/>
          <w:lang w:val="en-US" w:eastAsia="zh-CN"/>
        </w:rPr>
        <w:t>月</w:t>
      </w:r>
      <w:r>
        <w:rPr>
          <w:rFonts w:hint="eastAsia" w:ascii="宋体" w:hAnsi="宋体" w:cs="宋体"/>
          <w:b/>
          <w:bCs w:val="0"/>
          <w:color w:val="auto"/>
          <w:szCs w:val="21"/>
          <w:highlight w:val="none"/>
          <w:u w:val="single"/>
          <w:lang w:val="en-US" w:eastAsia="zh-CN"/>
        </w:rPr>
        <w:t>15</w:t>
      </w:r>
      <w:r>
        <w:rPr>
          <w:rFonts w:hint="eastAsia" w:ascii="宋体" w:hAnsi="宋体" w:eastAsia="宋体" w:cs="宋体"/>
          <w:b/>
          <w:bCs w:val="0"/>
          <w:color w:val="auto"/>
          <w:szCs w:val="21"/>
          <w:highlight w:val="none"/>
          <w:u w:val="single"/>
          <w:lang w:val="en-US" w:eastAsia="zh-CN"/>
        </w:rPr>
        <w:t>日上午09点30分</w:t>
      </w:r>
      <w:r>
        <w:rPr>
          <w:rFonts w:hint="eastAsia" w:ascii="宋体" w:hAnsi="宋体" w:eastAsia="宋体" w:cs="宋体"/>
          <w:color w:val="auto"/>
          <w:szCs w:val="21"/>
          <w:highlight w:val="none"/>
        </w:rPr>
        <w:t>截标后为磋商小组与磋商人磋商时间，具体时间由采购代理机构另行通知。地点：</w:t>
      </w:r>
      <w:r>
        <w:rPr>
          <w:rFonts w:hint="eastAsia" w:ascii="宋体" w:hAnsi="宋体" w:eastAsia="宋体" w:cs="宋体"/>
          <w:i w:val="0"/>
          <w:iCs w:val="0"/>
          <w:caps w:val="0"/>
          <w:color w:val="auto"/>
          <w:spacing w:val="0"/>
          <w:sz w:val="21"/>
          <w:szCs w:val="21"/>
          <w:highlight w:val="none"/>
          <w:shd w:val="clear" w:color="auto" w:fill="FFFFFF"/>
        </w:rPr>
        <w:t>南宁市青秀区枫林路18号广西国资交易中心</w:t>
      </w:r>
      <w:r>
        <w:rPr>
          <w:rFonts w:hint="eastAsia" w:ascii="宋体" w:hAnsi="宋体" w:eastAsia="宋体" w:cs="宋体"/>
          <w:color w:val="auto"/>
          <w:highlight w:val="none"/>
        </w:rPr>
        <w:t>开标室</w:t>
      </w:r>
      <w:r>
        <w:rPr>
          <w:rFonts w:hint="eastAsia" w:ascii="宋体" w:hAnsi="宋体" w:eastAsia="宋体" w:cs="宋体"/>
          <w:color w:val="auto"/>
          <w:szCs w:val="21"/>
          <w:highlight w:val="none"/>
        </w:rPr>
        <w:t>，参加竞争性磋商的法定代表人或委托代理人必须持证件（法定代表人凭资格证书和身份证或委托代理人凭法人授权委托书原件和身份证）依时到达指定地点等候当面竞争性磋商</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八、凡对本次采购提出询问，请按以下方式联系。</w:t>
      </w:r>
    </w:p>
    <w:p>
      <w:pPr>
        <w:spacing w:line="400" w:lineRule="exact"/>
        <w:ind w:firstLine="420" w:firstLineChars="200"/>
        <w:rPr>
          <w:rFonts w:hint="eastAsia" w:ascii="宋体" w:hAnsi="宋体" w:eastAsia="宋体" w:cs="宋体"/>
          <w:bCs/>
          <w:color w:val="auto"/>
          <w:highlight w:val="none"/>
        </w:rPr>
      </w:pPr>
      <w:bookmarkStart w:id="3" w:name="_Toc28359096"/>
      <w:bookmarkStart w:id="4" w:name="_Toc35393806"/>
      <w:bookmarkStart w:id="5" w:name="_Toc28359019"/>
      <w:bookmarkStart w:id="6" w:name="_Toc35393637"/>
      <w:r>
        <w:rPr>
          <w:rFonts w:hint="eastAsia" w:ascii="宋体" w:hAnsi="宋体" w:eastAsia="宋体" w:cs="宋体"/>
          <w:bCs/>
          <w:color w:val="auto"/>
          <w:highlight w:val="none"/>
        </w:rPr>
        <w:t>1.采购人信息</w:t>
      </w:r>
      <w:bookmarkEnd w:id="3"/>
      <w:bookmarkEnd w:id="4"/>
      <w:bookmarkEnd w:id="5"/>
      <w:bookmarkEnd w:id="6"/>
    </w:p>
    <w:p>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名    称：国家税务总局南宁市税务局</w:t>
      </w:r>
    </w:p>
    <w:p>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cs="宋体"/>
          <w:color w:val="auto"/>
          <w:highlight w:val="none"/>
          <w:u w:val="none"/>
          <w:lang w:eastAsia="zh-CN"/>
        </w:rPr>
        <w:t>广西南宁市金湖路</w:t>
      </w:r>
      <w:r>
        <w:rPr>
          <w:rFonts w:hint="eastAsia" w:ascii="宋体" w:hAnsi="宋体" w:cs="宋体"/>
          <w:color w:val="auto"/>
          <w:highlight w:val="none"/>
          <w:u w:val="none"/>
          <w:lang w:val="en-US" w:eastAsia="zh-CN"/>
        </w:rPr>
        <w:t>40号</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textAlignment w:val="auto"/>
        <w:rPr>
          <w:rFonts w:hint="eastAsia" w:ascii="宋体" w:hAnsi="宋体" w:eastAsia="宋体" w:cs="宋体"/>
          <w:color w:val="auto"/>
          <w:kern w:val="0"/>
          <w:szCs w:val="21"/>
          <w:highlight w:val="none"/>
        </w:rPr>
      </w:pPr>
      <w:r>
        <w:rPr>
          <w:rFonts w:hint="eastAsia" w:ascii="宋体" w:hAnsi="宋体" w:eastAsia="宋体" w:cs="宋体"/>
          <w:color w:val="auto"/>
          <w:highlight w:val="none"/>
        </w:rPr>
        <w:t xml:space="preserve">联系方式： </w:t>
      </w:r>
      <w:r>
        <w:rPr>
          <w:rFonts w:hint="eastAsia" w:ascii="宋体" w:hAnsi="宋体" w:cs="宋体"/>
          <w:color w:val="auto"/>
          <w:highlight w:val="none"/>
          <w:lang w:eastAsia="zh-CN"/>
        </w:rPr>
        <w:t>赖工</w:t>
      </w:r>
      <w:r>
        <w:rPr>
          <w:rFonts w:hint="eastAsia" w:ascii="宋体" w:hAnsi="宋体" w:cs="宋体"/>
          <w:color w:val="auto"/>
          <w:highlight w:val="none"/>
          <w:lang w:val="en-US" w:eastAsia="zh-CN"/>
        </w:rPr>
        <w:t xml:space="preserve"> </w:t>
      </w:r>
      <w:r>
        <w:rPr>
          <w:rFonts w:hint="eastAsia" w:ascii="宋体" w:hAnsi="宋体" w:cs="宋体"/>
          <w:color w:val="auto"/>
          <w:highlight w:val="none"/>
          <w:lang w:val="en-US" w:eastAsia="zh-CN"/>
        </w:rPr>
        <w:t>0771-5525051</w:t>
      </w:r>
    </w:p>
    <w:p>
      <w:pPr>
        <w:shd w:val="clear" w:color="auto" w:fill="auto"/>
        <w:spacing w:line="360" w:lineRule="auto"/>
        <w:ind w:firstLine="420" w:firstLineChars="200"/>
        <w:rPr>
          <w:rFonts w:hint="eastAsia" w:ascii="宋体" w:hAnsi="宋体" w:eastAsia="宋体" w:cs="宋体"/>
          <w:color w:val="auto"/>
          <w:highlight w:val="none"/>
        </w:rPr>
      </w:pPr>
      <w:bookmarkStart w:id="7" w:name="_Toc35393807"/>
      <w:bookmarkStart w:id="8" w:name="_Toc46761417"/>
      <w:bookmarkStart w:id="9" w:name="_Toc28359020"/>
      <w:bookmarkStart w:id="10" w:name="_Toc35393638"/>
      <w:bookmarkStart w:id="11" w:name="_Toc28359097"/>
      <w:r>
        <w:rPr>
          <w:rFonts w:hint="eastAsia" w:ascii="宋体" w:hAnsi="宋体" w:eastAsia="宋体" w:cs="宋体"/>
          <w:color w:val="auto"/>
          <w:highlight w:val="none"/>
        </w:rPr>
        <w:t>2、采购代理机构信息</w:t>
      </w:r>
      <w:bookmarkEnd w:id="7"/>
      <w:bookmarkEnd w:id="8"/>
      <w:bookmarkEnd w:id="9"/>
      <w:bookmarkEnd w:id="10"/>
      <w:bookmarkEnd w:id="11"/>
    </w:p>
    <w:p>
      <w:pPr>
        <w:pStyle w:val="10"/>
        <w:widowControl/>
        <w:shd w:val="clear" w:color="auto" w:fill="auto"/>
        <w:wordWrap w:val="0"/>
        <w:topLinePunct/>
        <w:autoSpaceDE/>
        <w:autoSpaceDN/>
        <w:adjustRightInd w:val="0"/>
        <w:snapToGrid w:val="0"/>
        <w:spacing w:before="60" w:after="60" w:line="360" w:lineRule="exact"/>
        <w:ind w:firstLine="420" w:firstLineChars="200"/>
        <w:rPr>
          <w:rFonts w:hint="eastAsia" w:ascii="宋体" w:hAnsi="宋体" w:eastAsia="宋体" w:cs="宋体"/>
          <w:b w:val="0"/>
          <w:bCs/>
          <w:color w:val="auto"/>
          <w:highlight w:val="none"/>
          <w:u w:val="none"/>
        </w:rPr>
      </w:pPr>
      <w:bookmarkStart w:id="12" w:name="_Toc46761418"/>
      <w:bookmarkStart w:id="13" w:name="_Toc35393808"/>
      <w:bookmarkStart w:id="14" w:name="_Toc28359021"/>
      <w:bookmarkStart w:id="15" w:name="_Toc28359098"/>
      <w:bookmarkStart w:id="16" w:name="_Toc35393639"/>
      <w:r>
        <w:rPr>
          <w:rFonts w:hint="eastAsia" w:ascii="宋体" w:hAnsi="宋体" w:eastAsia="宋体" w:cs="宋体"/>
          <w:b w:val="0"/>
          <w:bCs/>
          <w:color w:val="auto"/>
          <w:highlight w:val="none"/>
          <w:u w:val="none"/>
        </w:rPr>
        <w:t>名称：广西建设工程机电设备招标中心有限公司</w:t>
      </w:r>
    </w:p>
    <w:p>
      <w:pPr>
        <w:pStyle w:val="10"/>
        <w:widowControl/>
        <w:shd w:val="clear" w:color="auto" w:fill="auto"/>
        <w:tabs>
          <w:tab w:val="left" w:pos="1595"/>
        </w:tabs>
        <w:wordWrap w:val="0"/>
        <w:topLinePunct/>
        <w:autoSpaceDE/>
        <w:autoSpaceDN/>
        <w:adjustRightInd w:val="0"/>
        <w:snapToGrid w:val="0"/>
        <w:spacing w:before="60" w:after="60" w:line="360" w:lineRule="exact"/>
        <w:ind w:firstLine="420" w:firstLineChars="200"/>
        <w:rPr>
          <w:rFonts w:hint="eastAsia" w:ascii="宋体" w:hAnsi="宋体" w:eastAsia="宋体" w:cs="宋体"/>
          <w:b w:val="0"/>
          <w:bCs/>
          <w:color w:val="auto"/>
          <w:highlight w:val="none"/>
          <w:u w:val="none"/>
        </w:rPr>
      </w:pPr>
      <w:r>
        <w:rPr>
          <w:rFonts w:hint="eastAsia" w:ascii="宋体" w:hAnsi="宋体" w:eastAsia="宋体" w:cs="宋体"/>
          <w:b w:val="0"/>
          <w:bCs/>
          <w:color w:val="auto"/>
          <w:highlight w:val="none"/>
          <w:u w:val="none"/>
        </w:rPr>
        <w:t>地址：</w:t>
      </w:r>
      <w:r>
        <w:rPr>
          <w:rFonts w:hint="eastAsia" w:ascii="宋体" w:hAnsi="宋体" w:eastAsia="宋体" w:cs="宋体"/>
          <w:b w:val="0"/>
          <w:bCs/>
          <w:color w:val="auto"/>
          <w:sz w:val="21"/>
          <w:szCs w:val="21"/>
          <w:highlight w:val="none"/>
          <w:u w:val="none"/>
        </w:rPr>
        <w:t>南宁市良庆区凯旋路15号南宁绿地中心5号楼6层</w:t>
      </w:r>
    </w:p>
    <w:p>
      <w:pPr>
        <w:shd w:val="clear" w:color="auto" w:fill="auto"/>
        <w:spacing w:line="360" w:lineRule="auto"/>
        <w:ind w:firstLine="420" w:firstLineChars="200"/>
        <w:rPr>
          <w:rFonts w:hint="eastAsia" w:ascii="宋体" w:hAnsi="宋体" w:eastAsia="宋体" w:cs="宋体"/>
          <w:b w:val="0"/>
          <w:bCs/>
          <w:color w:val="auto"/>
          <w:highlight w:val="none"/>
          <w:u w:val="none"/>
        </w:rPr>
      </w:pPr>
      <w:r>
        <w:rPr>
          <w:rFonts w:hint="eastAsia" w:ascii="宋体" w:hAnsi="宋体" w:eastAsia="宋体" w:cs="宋体"/>
          <w:b w:val="0"/>
          <w:bCs/>
          <w:color w:val="auto"/>
          <w:highlight w:val="none"/>
          <w:u w:val="none"/>
        </w:rPr>
        <w:t>联系方式：</w:t>
      </w:r>
      <w:r>
        <w:rPr>
          <w:rFonts w:hint="eastAsia" w:ascii="宋体" w:hAnsi="宋体" w:eastAsia="宋体" w:cs="宋体"/>
          <w:b w:val="0"/>
          <w:bCs/>
          <w:color w:val="auto"/>
          <w:sz w:val="21"/>
          <w:szCs w:val="21"/>
          <w:highlight w:val="none"/>
          <w:u w:val="none"/>
          <w:lang w:val="en-US" w:eastAsia="zh-CN"/>
        </w:rPr>
        <w:t>0771-2807659</w:t>
      </w:r>
    </w:p>
    <w:p>
      <w:pPr>
        <w:shd w:val="clear" w:color="auto" w:fill="auto"/>
        <w:spacing w:line="360" w:lineRule="auto"/>
        <w:rPr>
          <w:rFonts w:hint="eastAsia" w:ascii="宋体" w:hAnsi="宋体" w:eastAsia="宋体" w:cs="宋体"/>
          <w:b w:val="0"/>
          <w:bCs/>
          <w:color w:val="auto"/>
          <w:highlight w:val="none"/>
          <w:u w:val="none"/>
        </w:rPr>
      </w:pPr>
      <w:r>
        <w:rPr>
          <w:rFonts w:hint="eastAsia" w:ascii="宋体" w:hAnsi="宋体" w:eastAsia="宋体" w:cs="宋体"/>
          <w:b w:val="0"/>
          <w:bCs/>
          <w:color w:val="auto"/>
          <w:highlight w:val="none"/>
          <w:u w:val="none"/>
        </w:rPr>
        <w:t>3、项目联系方式</w:t>
      </w:r>
      <w:bookmarkEnd w:id="12"/>
      <w:bookmarkEnd w:id="13"/>
      <w:bookmarkEnd w:id="14"/>
      <w:bookmarkEnd w:id="15"/>
      <w:bookmarkEnd w:id="16"/>
    </w:p>
    <w:p>
      <w:pPr>
        <w:pStyle w:val="10"/>
        <w:widowControl/>
        <w:shd w:val="clear" w:color="auto" w:fill="auto"/>
        <w:wordWrap w:val="0"/>
        <w:topLinePunct/>
        <w:autoSpaceDE/>
        <w:autoSpaceDN/>
        <w:adjustRightInd w:val="0"/>
        <w:snapToGrid w:val="0"/>
        <w:spacing w:before="60" w:after="60" w:line="360" w:lineRule="exact"/>
        <w:ind w:firstLine="420" w:firstLineChars="200"/>
        <w:rPr>
          <w:rFonts w:hint="eastAsia" w:ascii="宋体" w:hAnsi="宋体" w:eastAsia="宋体" w:cs="宋体"/>
          <w:b w:val="0"/>
          <w:bCs/>
          <w:color w:val="auto"/>
          <w:highlight w:val="none"/>
          <w:u w:val="none"/>
        </w:rPr>
      </w:pPr>
      <w:r>
        <w:rPr>
          <w:rFonts w:hint="eastAsia" w:ascii="宋体" w:hAnsi="宋体" w:eastAsia="宋体" w:cs="宋体"/>
          <w:b w:val="0"/>
          <w:bCs/>
          <w:color w:val="auto"/>
          <w:highlight w:val="none"/>
          <w:u w:val="none"/>
        </w:rPr>
        <w:t>项目联系人：黄天懿</w:t>
      </w:r>
    </w:p>
    <w:p>
      <w:pPr>
        <w:pStyle w:val="10"/>
        <w:widowControl/>
        <w:shd w:val="clear" w:color="auto" w:fill="auto"/>
        <w:tabs>
          <w:tab w:val="left" w:pos="1595"/>
        </w:tabs>
        <w:wordWrap w:val="0"/>
        <w:topLinePunct/>
        <w:autoSpaceDE/>
        <w:autoSpaceDN/>
        <w:adjustRightInd w:val="0"/>
        <w:snapToGrid w:val="0"/>
        <w:spacing w:before="60" w:after="60" w:line="360" w:lineRule="exact"/>
        <w:ind w:firstLine="420" w:firstLineChars="200"/>
        <w:rPr>
          <w:rFonts w:hint="eastAsia" w:ascii="宋体" w:hAnsi="宋体" w:eastAsia="宋体" w:cs="宋体"/>
          <w:b w:val="0"/>
          <w:bCs/>
          <w:color w:val="auto"/>
          <w:highlight w:val="none"/>
          <w:u w:val="none"/>
        </w:rPr>
      </w:pPr>
      <w:r>
        <w:rPr>
          <w:rFonts w:hint="eastAsia" w:ascii="宋体" w:hAnsi="宋体" w:eastAsia="宋体" w:cs="宋体"/>
          <w:b w:val="0"/>
          <w:bCs/>
          <w:color w:val="auto"/>
          <w:highlight w:val="none"/>
          <w:u w:val="none"/>
        </w:rPr>
        <w:t>电话：</w:t>
      </w:r>
      <w:r>
        <w:rPr>
          <w:rFonts w:hint="eastAsia" w:ascii="宋体" w:hAnsi="宋体" w:eastAsia="宋体" w:cs="宋体"/>
          <w:b w:val="0"/>
          <w:bCs/>
          <w:color w:val="auto"/>
          <w:sz w:val="21"/>
          <w:szCs w:val="21"/>
          <w:highlight w:val="none"/>
          <w:u w:val="none"/>
          <w:lang w:val="en-US" w:eastAsia="zh-CN"/>
        </w:rPr>
        <w:t>0771-2807659</w:t>
      </w:r>
    </w:p>
    <w:p>
      <w:pPr>
        <w:shd w:val="clear" w:color="auto" w:fill="auto"/>
        <w:spacing w:line="360" w:lineRule="auto"/>
        <w:ind w:firstLine="6510" w:firstLineChars="3100"/>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u w:val="singl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sectPr>
          <w:pgSz w:w="11906" w:h="16838"/>
          <w:pgMar w:top="1440" w:right="1752" w:bottom="1440" w:left="1752" w:header="851" w:footer="992" w:gutter="0"/>
          <w:pgNumType w:fmt="decimal"/>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28"/>
          <w:szCs w:val="28"/>
          <w:highlight w:val="none"/>
        </w:rPr>
      </w:pPr>
      <w:bookmarkStart w:id="17" w:name="_Toc25790"/>
      <w:bookmarkStart w:id="18" w:name="_Toc132880656"/>
      <w:r>
        <w:rPr>
          <w:rFonts w:hint="eastAsia" w:ascii="宋体" w:hAnsi="宋体" w:eastAsia="宋体" w:cs="宋体"/>
          <w:b/>
          <w:bCs/>
          <w:color w:val="auto"/>
          <w:sz w:val="28"/>
          <w:szCs w:val="28"/>
          <w:highlight w:val="none"/>
        </w:rPr>
        <w:t>第二章　供应商须知</w:t>
      </w:r>
      <w:bookmarkEnd w:id="17"/>
      <w:bookmarkEnd w:id="18"/>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eastAsia="宋体" w:cs="宋体"/>
          <w:b/>
          <w:bCs/>
          <w:color w:val="auto"/>
          <w:sz w:val="24"/>
          <w:szCs w:val="24"/>
          <w:highlight w:val="none"/>
        </w:rPr>
      </w:pPr>
      <w:bookmarkStart w:id="19" w:name="_Toc132880657"/>
      <w:bookmarkStart w:id="20" w:name="_Toc8944"/>
      <w:r>
        <w:rPr>
          <w:rFonts w:hint="eastAsia" w:ascii="宋体" w:hAnsi="宋体" w:eastAsia="宋体" w:cs="宋体"/>
          <w:b/>
          <w:bCs/>
          <w:color w:val="auto"/>
          <w:sz w:val="24"/>
          <w:szCs w:val="24"/>
          <w:highlight w:val="none"/>
        </w:rPr>
        <w:t>供应商须知前附表</w:t>
      </w:r>
      <w:bookmarkEnd w:id="19"/>
      <w:bookmarkEnd w:id="20"/>
    </w:p>
    <w:tbl>
      <w:tblPr>
        <w:tblStyle w:val="16"/>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984"/>
        <w:gridCol w:w="851"/>
        <w:gridCol w:w="5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 号</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类  别</w:t>
            </w:r>
          </w:p>
        </w:tc>
        <w:tc>
          <w:tcPr>
            <w:tcW w:w="60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tcBorders>
              <w:top w:val="single" w:color="auto" w:sz="4" w:space="0"/>
              <w:left w:val="single" w:color="auto" w:sz="4" w:space="0"/>
              <w:right w:val="single" w:color="auto" w:sz="4" w:space="0"/>
            </w:tcBorders>
            <w:vAlign w:val="center"/>
          </w:tcPr>
          <w:p>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84" w:type="dxa"/>
            <w:vMerge w:val="restart"/>
            <w:tcBorders>
              <w:top w:val="single" w:color="auto" w:sz="4" w:space="0"/>
              <w:left w:val="single" w:color="auto" w:sz="4" w:space="0"/>
              <w:right w:val="single" w:color="auto" w:sz="4" w:space="0"/>
            </w:tcBorders>
            <w:vAlign w:val="center"/>
          </w:tcPr>
          <w:p>
            <w:pPr>
              <w:adjustRightInd w:val="0"/>
              <w:snapToGrid w:val="0"/>
              <w:spacing w:after="0" w:line="360" w:lineRule="auto"/>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项目名称、编号、预算及最高限价</w:t>
            </w:r>
          </w:p>
        </w:tc>
        <w:tc>
          <w:tcPr>
            <w:tcW w:w="60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项目名称：国家税务总局南宁市税务局专业媒体综合服务项目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right w:val="single" w:color="auto" w:sz="4" w:space="0"/>
            </w:tcBorders>
            <w:vAlign w:val="center"/>
          </w:tcPr>
          <w:p>
            <w:pPr>
              <w:adjustRightInd w:val="0"/>
              <w:snapToGrid w:val="0"/>
              <w:spacing w:after="0" w:line="360" w:lineRule="auto"/>
              <w:jc w:val="center"/>
              <w:rPr>
                <w:rFonts w:hint="eastAsia" w:ascii="宋体" w:hAnsi="宋体" w:eastAsia="宋体" w:cs="宋体"/>
                <w:color w:val="auto"/>
                <w:sz w:val="21"/>
                <w:szCs w:val="21"/>
                <w:highlight w:val="none"/>
              </w:rPr>
            </w:pPr>
          </w:p>
        </w:tc>
        <w:tc>
          <w:tcPr>
            <w:tcW w:w="1984" w:type="dxa"/>
            <w:vMerge w:val="continue"/>
            <w:tcBorders>
              <w:left w:val="single" w:color="auto" w:sz="4" w:space="0"/>
              <w:right w:val="single" w:color="auto" w:sz="4" w:space="0"/>
            </w:tcBorders>
            <w:vAlign w:val="center"/>
          </w:tcPr>
          <w:p>
            <w:pPr>
              <w:adjustRightInd w:val="0"/>
              <w:snapToGrid w:val="0"/>
              <w:spacing w:after="0" w:line="360" w:lineRule="auto"/>
              <w:jc w:val="center"/>
              <w:rPr>
                <w:rFonts w:hint="eastAsia" w:ascii="宋体" w:hAnsi="宋体" w:eastAsia="宋体" w:cs="宋体"/>
                <w:color w:val="auto"/>
                <w:sz w:val="21"/>
                <w:szCs w:val="21"/>
                <w:highlight w:val="none"/>
              </w:rPr>
            </w:pPr>
          </w:p>
        </w:tc>
        <w:tc>
          <w:tcPr>
            <w:tcW w:w="60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val="en-US" w:eastAsia="zh-CN"/>
              </w:rPr>
              <w:t>FS（ZB3）2024031C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35" w:type="dxa"/>
            <w:vMerge w:val="continue"/>
            <w:tcBorders>
              <w:left w:val="single" w:color="auto" w:sz="4" w:space="0"/>
              <w:right w:val="single" w:color="auto" w:sz="4" w:space="0"/>
            </w:tcBorders>
            <w:vAlign w:val="center"/>
          </w:tcPr>
          <w:p>
            <w:pPr>
              <w:adjustRightInd w:val="0"/>
              <w:snapToGrid w:val="0"/>
              <w:spacing w:after="0" w:line="360" w:lineRule="auto"/>
              <w:jc w:val="center"/>
              <w:rPr>
                <w:rFonts w:hint="eastAsia" w:ascii="宋体" w:hAnsi="宋体" w:eastAsia="宋体" w:cs="宋体"/>
                <w:color w:val="auto"/>
                <w:sz w:val="21"/>
                <w:szCs w:val="21"/>
                <w:highlight w:val="none"/>
              </w:rPr>
            </w:pPr>
          </w:p>
        </w:tc>
        <w:tc>
          <w:tcPr>
            <w:tcW w:w="1984" w:type="dxa"/>
            <w:vMerge w:val="continue"/>
            <w:tcBorders>
              <w:left w:val="single" w:color="auto" w:sz="4" w:space="0"/>
              <w:right w:val="single" w:color="auto" w:sz="4" w:space="0"/>
            </w:tcBorders>
            <w:vAlign w:val="center"/>
          </w:tcPr>
          <w:p>
            <w:pPr>
              <w:adjustRightInd w:val="0"/>
              <w:snapToGrid w:val="0"/>
              <w:spacing w:after="0" w:line="360" w:lineRule="auto"/>
              <w:jc w:val="center"/>
              <w:rPr>
                <w:rFonts w:hint="eastAsia" w:ascii="宋体" w:hAnsi="宋体" w:eastAsia="宋体" w:cs="宋体"/>
                <w:color w:val="auto"/>
                <w:sz w:val="21"/>
                <w:szCs w:val="21"/>
                <w:highlight w:val="none"/>
              </w:rPr>
            </w:pPr>
          </w:p>
        </w:tc>
        <w:tc>
          <w:tcPr>
            <w:tcW w:w="605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项目预算：</w:t>
            </w:r>
            <w:r>
              <w:rPr>
                <w:rFonts w:hint="eastAsia" w:ascii="宋体" w:hAnsi="宋体" w:eastAsia="宋体" w:cs="宋体"/>
                <w:color w:val="auto"/>
                <w:szCs w:val="21"/>
                <w:highlight w:val="none"/>
              </w:rPr>
              <w:t>人民币（大写）</w:t>
            </w:r>
            <w:r>
              <w:rPr>
                <w:rFonts w:hint="eastAsia" w:ascii="宋体" w:hAnsi="宋体" w:cs="宋体"/>
                <w:color w:val="auto"/>
                <w:szCs w:val="21"/>
                <w:highlight w:val="none"/>
                <w:lang w:val="en-US" w:eastAsia="zh-CN"/>
              </w:rPr>
              <w:t>伍拾万元整(</w:t>
            </w:r>
            <w:r>
              <w:rPr>
                <w:rFonts w:hint="default" w:ascii="Arial" w:hAnsi="Arial" w:cs="Arial"/>
                <w:color w:val="auto"/>
                <w:szCs w:val="21"/>
                <w:highlight w:val="none"/>
                <w:lang w:val="en-US" w:eastAsia="zh-CN"/>
              </w:rPr>
              <w:t>¥</w:t>
            </w:r>
            <w:r>
              <w:rPr>
                <w:rFonts w:hint="eastAsia" w:ascii="宋体" w:hAnsi="宋体" w:cs="宋体"/>
                <w:color w:val="auto"/>
                <w:szCs w:val="21"/>
                <w:highlight w:val="none"/>
                <w:lang w:val="en-US" w:eastAsia="zh-CN"/>
              </w:rPr>
              <w:t>500000.00)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35" w:type="dxa"/>
            <w:vMerge w:val="continue"/>
            <w:tcBorders>
              <w:left w:val="single" w:color="auto" w:sz="4" w:space="0"/>
              <w:right w:val="single" w:color="auto" w:sz="4" w:space="0"/>
            </w:tcBorders>
            <w:vAlign w:val="center"/>
          </w:tcPr>
          <w:p>
            <w:pPr>
              <w:adjustRightInd w:val="0"/>
              <w:snapToGrid w:val="0"/>
              <w:spacing w:after="0" w:line="360" w:lineRule="auto"/>
              <w:jc w:val="center"/>
              <w:rPr>
                <w:rFonts w:hint="eastAsia" w:ascii="宋体" w:hAnsi="宋体" w:eastAsia="宋体" w:cs="宋体"/>
                <w:color w:val="auto"/>
                <w:sz w:val="21"/>
                <w:szCs w:val="21"/>
                <w:highlight w:val="none"/>
              </w:rPr>
            </w:pPr>
          </w:p>
        </w:tc>
        <w:tc>
          <w:tcPr>
            <w:tcW w:w="1984" w:type="dxa"/>
            <w:vMerge w:val="continue"/>
            <w:tcBorders>
              <w:left w:val="single" w:color="auto" w:sz="4" w:space="0"/>
              <w:right w:val="single" w:color="auto" w:sz="4" w:space="0"/>
            </w:tcBorders>
            <w:vAlign w:val="center"/>
          </w:tcPr>
          <w:p>
            <w:pPr>
              <w:adjustRightInd w:val="0"/>
              <w:snapToGrid w:val="0"/>
              <w:spacing w:after="0" w:line="360" w:lineRule="auto"/>
              <w:jc w:val="center"/>
              <w:rPr>
                <w:rFonts w:hint="eastAsia" w:ascii="宋体" w:hAnsi="宋体" w:eastAsia="宋体" w:cs="宋体"/>
                <w:color w:val="auto"/>
                <w:sz w:val="21"/>
                <w:szCs w:val="21"/>
                <w:highlight w:val="none"/>
              </w:rPr>
            </w:pPr>
          </w:p>
        </w:tc>
        <w:tc>
          <w:tcPr>
            <w:tcW w:w="60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最高限价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rPr>
              <w:t>人民币（大写）</w:t>
            </w:r>
            <w:r>
              <w:rPr>
                <w:rFonts w:hint="eastAsia" w:ascii="宋体" w:hAnsi="宋体" w:cs="宋体"/>
                <w:color w:val="auto"/>
                <w:szCs w:val="21"/>
                <w:highlight w:val="none"/>
                <w:lang w:val="en-US" w:eastAsia="zh-CN"/>
              </w:rPr>
              <w:t>伍拾万元整(</w:t>
            </w:r>
            <w:r>
              <w:rPr>
                <w:rFonts w:hint="default" w:ascii="Arial" w:hAnsi="Arial" w:cs="Arial"/>
                <w:color w:val="auto"/>
                <w:szCs w:val="21"/>
                <w:highlight w:val="none"/>
                <w:lang w:val="en-US" w:eastAsia="zh-CN"/>
              </w:rPr>
              <w:t>¥</w:t>
            </w:r>
            <w:r>
              <w:rPr>
                <w:rFonts w:hint="eastAsia" w:ascii="宋体" w:hAnsi="宋体" w:cs="宋体"/>
                <w:color w:val="auto"/>
                <w:szCs w:val="21"/>
                <w:highlight w:val="none"/>
                <w:lang w:val="en-US" w:eastAsia="zh-CN"/>
              </w:rPr>
              <w:t>500000.00)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tc>
        <w:tc>
          <w:tcPr>
            <w:tcW w:w="60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详见《采购文件（技术部分）》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项目属性和类别</w:t>
            </w:r>
          </w:p>
        </w:tc>
        <w:tc>
          <w:tcPr>
            <w:tcW w:w="60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项目属性：</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 xml:space="preserve">货物         </w:t>
            </w: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 xml:space="preserve">服务         </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工程</w:t>
            </w:r>
          </w:p>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项目类别：</w:t>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 xml:space="preserve">信息化项目   </w:t>
            </w: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非信息化项目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c>
          <w:tcPr>
            <w:tcW w:w="605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auto"/>
              <w:kinsoku/>
              <w:wordWrap/>
              <w:overflowPunct/>
              <w:topLinePunct w:val="0"/>
              <w:autoSpaceDE/>
              <w:autoSpaceDN/>
              <w:bidi w:val="0"/>
              <w:adjustRightInd/>
              <w:snapToGrid w:val="0"/>
              <w:spacing w:before="60" w:after="60" w:line="400" w:lineRule="exact"/>
              <w:jc w:val="left"/>
              <w:textAlignment w:val="auto"/>
              <w:outlineLvl w:val="9"/>
              <w:rPr>
                <w:rFonts w:hint="eastAsia" w:ascii="宋体" w:hAnsi="宋体" w:eastAsia="宋体" w:cs="宋体"/>
                <w:color w:val="auto"/>
                <w:highlight w:val="none"/>
                <w:u w:val="none"/>
              </w:rPr>
            </w:pPr>
            <w:r>
              <w:rPr>
                <w:rFonts w:hint="eastAsia" w:ascii="宋体" w:hAnsi="宋体" w:eastAsia="宋体" w:cs="宋体"/>
                <w:color w:val="auto"/>
                <w:highlight w:val="none"/>
                <w:u w:val="none"/>
              </w:rPr>
              <w:t>名    称：国家税务总局南宁市税务局</w:t>
            </w:r>
          </w:p>
          <w:p>
            <w:pPr>
              <w:keepNext w:val="0"/>
              <w:keepLines w:val="0"/>
              <w:pageBreakBefore w:val="0"/>
              <w:shd w:val="clear" w:color="auto" w:fill="auto"/>
              <w:kinsoku/>
              <w:wordWrap/>
              <w:overflowPunct/>
              <w:topLinePunct w:val="0"/>
              <w:autoSpaceDE/>
              <w:autoSpaceDN/>
              <w:bidi w:val="0"/>
              <w:adjustRightInd/>
              <w:snapToGrid w:val="0"/>
              <w:spacing w:before="60" w:after="60" w:line="400" w:lineRule="exact"/>
              <w:jc w:val="left"/>
              <w:textAlignment w:val="auto"/>
              <w:outlineLvl w:val="9"/>
              <w:rPr>
                <w:rFonts w:hint="default" w:ascii="宋体" w:hAnsi="宋体" w:eastAsia="宋体" w:cs="宋体"/>
                <w:color w:val="auto"/>
                <w:highlight w:val="none"/>
                <w:u w:val="none"/>
                <w:lang w:val="en-US" w:eastAsia="zh-CN"/>
              </w:rPr>
            </w:pPr>
            <w:r>
              <w:rPr>
                <w:rFonts w:hint="eastAsia" w:ascii="宋体" w:hAnsi="宋体" w:eastAsia="宋体" w:cs="宋体"/>
                <w:color w:val="auto"/>
                <w:highlight w:val="none"/>
                <w:u w:val="none"/>
              </w:rPr>
              <w:t>地    址：</w:t>
            </w:r>
            <w:r>
              <w:rPr>
                <w:rFonts w:hint="eastAsia" w:ascii="宋体" w:hAnsi="宋体" w:cs="宋体"/>
                <w:color w:val="auto"/>
                <w:highlight w:val="none"/>
                <w:u w:val="none"/>
                <w:lang w:eastAsia="zh-CN"/>
              </w:rPr>
              <w:t>广西南宁市金湖路</w:t>
            </w:r>
            <w:r>
              <w:rPr>
                <w:rFonts w:hint="eastAsia" w:ascii="宋体" w:hAnsi="宋体" w:cs="宋体"/>
                <w:color w:val="auto"/>
                <w:highlight w:val="none"/>
                <w:u w:val="none"/>
                <w:lang w:val="en-US" w:eastAsia="zh-CN"/>
              </w:rPr>
              <w:t>40号</w:t>
            </w:r>
          </w:p>
          <w:p>
            <w:pPr>
              <w:keepNext w:val="0"/>
              <w:keepLines w:val="0"/>
              <w:pageBreakBefore w:val="0"/>
              <w:widowControl/>
              <w:shd w:val="clear" w:color="auto" w:fill="auto"/>
              <w:kinsoku/>
              <w:wordWrap/>
              <w:overflowPunct/>
              <w:topLinePunct w:val="0"/>
              <w:autoSpaceDE/>
              <w:autoSpaceDN/>
              <w:bidi w:val="0"/>
              <w:adjustRightInd/>
              <w:snapToGrid w:val="0"/>
              <w:spacing w:before="60" w:after="60" w:line="400" w:lineRule="exact"/>
              <w:jc w:val="both"/>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联系方式：</w:t>
            </w:r>
            <w:r>
              <w:rPr>
                <w:rFonts w:hint="eastAsia" w:ascii="宋体" w:hAnsi="宋体" w:cs="宋体"/>
                <w:color w:val="auto"/>
                <w:highlight w:val="none"/>
                <w:lang w:eastAsia="zh-CN"/>
              </w:rPr>
              <w:t>赖工</w:t>
            </w:r>
          </w:p>
          <w:p>
            <w:pPr>
              <w:adjustRightInd w:val="0"/>
              <w:snapToGrid w:val="0"/>
              <w:spacing w:after="0" w:line="360"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highlight w:val="none"/>
              </w:rPr>
              <w:t>联系电话：</w:t>
            </w:r>
            <w:r>
              <w:rPr>
                <w:rFonts w:hint="eastAsia" w:ascii="宋体" w:hAnsi="宋体" w:cs="宋体"/>
                <w:color w:val="auto"/>
                <w:highlight w:val="none"/>
                <w:lang w:val="en-US" w:eastAsia="zh-CN"/>
              </w:rPr>
              <w:t>0771-5525051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w:t>
            </w:r>
          </w:p>
        </w:tc>
        <w:tc>
          <w:tcPr>
            <w:tcW w:w="60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名称： </w:t>
            </w:r>
            <w:r>
              <w:rPr>
                <w:rFonts w:hint="eastAsia" w:ascii="宋体" w:hAnsi="宋体" w:eastAsia="宋体" w:cs="宋体"/>
                <w:color w:val="auto"/>
                <w:highlight w:val="none"/>
                <w:u w:val="none"/>
              </w:rPr>
              <w:t>广西建设工程机电设备招标中心有限公司</w:t>
            </w:r>
          </w:p>
          <w:p>
            <w:pPr>
              <w:adjustRightInd w:val="0"/>
              <w:snapToGrid w:val="0"/>
              <w:spacing w:after="0" w:line="360" w:lineRule="auto"/>
              <w:jc w:val="left"/>
              <w:rPr>
                <w:rFonts w:hint="eastAsia" w:ascii="宋体" w:hAnsi="宋体" w:eastAsia="宋体" w:cs="宋体"/>
                <w:bCs/>
                <w:color w:val="auto"/>
                <w:sz w:val="21"/>
                <w:szCs w:val="21"/>
                <w:highlight w:val="none"/>
                <w:u w:val="none"/>
              </w:rPr>
            </w:pPr>
            <w:r>
              <w:rPr>
                <w:rFonts w:hint="eastAsia" w:ascii="宋体" w:hAnsi="宋体" w:eastAsia="宋体" w:cs="宋体"/>
                <w:color w:val="auto"/>
                <w:sz w:val="21"/>
                <w:szCs w:val="21"/>
                <w:highlight w:val="none"/>
                <w:u w:val="none"/>
              </w:rPr>
              <w:t>地址：南宁市良庆区凯旋路15号南宁绿地中心5号楼6层</w:t>
            </w:r>
          </w:p>
          <w:p>
            <w:pPr>
              <w:adjustRightInd w:val="0"/>
              <w:snapToGrid w:val="0"/>
              <w:spacing w:after="0" w:line="360" w:lineRule="auto"/>
              <w:jc w:val="left"/>
              <w:rPr>
                <w:rFonts w:hint="eastAsia" w:ascii="宋体" w:hAnsi="宋体" w:eastAsia="宋体" w:cs="宋体"/>
                <w:bCs/>
                <w:color w:val="auto"/>
                <w:sz w:val="21"/>
                <w:szCs w:val="21"/>
                <w:highlight w:val="none"/>
                <w:u w:val="none"/>
              </w:rPr>
            </w:pPr>
            <w:r>
              <w:rPr>
                <w:rFonts w:hint="eastAsia" w:ascii="宋体" w:hAnsi="宋体" w:eastAsia="宋体" w:cs="宋体"/>
                <w:color w:val="auto"/>
                <w:sz w:val="21"/>
                <w:szCs w:val="21"/>
                <w:highlight w:val="none"/>
                <w:u w:val="none"/>
              </w:rPr>
              <w:t>联系</w:t>
            </w:r>
            <w:r>
              <w:rPr>
                <w:rFonts w:hint="eastAsia" w:ascii="宋体" w:hAnsi="宋体" w:eastAsia="宋体" w:cs="宋体"/>
                <w:bCs/>
                <w:color w:val="auto"/>
                <w:sz w:val="21"/>
                <w:szCs w:val="21"/>
                <w:highlight w:val="none"/>
                <w:u w:val="none"/>
              </w:rPr>
              <w:t>电话：0771-</w:t>
            </w:r>
            <w:r>
              <w:rPr>
                <w:rFonts w:hint="eastAsia" w:ascii="宋体" w:hAnsi="宋体" w:eastAsia="宋体" w:cs="宋体"/>
                <w:bCs/>
                <w:color w:val="auto"/>
                <w:sz w:val="21"/>
                <w:szCs w:val="21"/>
                <w:highlight w:val="none"/>
                <w:u w:val="none"/>
                <w:lang w:val="en-US" w:eastAsia="zh-CN"/>
              </w:rPr>
              <w:t>2807659</w:t>
            </w:r>
          </w:p>
          <w:p>
            <w:pPr>
              <w:adjustRightInd w:val="0"/>
              <w:snapToGrid w:val="0"/>
              <w:spacing w:after="0" w:line="360" w:lineRule="auto"/>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联系方式：</w:t>
            </w:r>
            <w:r>
              <w:rPr>
                <w:rFonts w:hint="eastAsia" w:ascii="宋体" w:hAnsi="宋体" w:eastAsia="宋体" w:cs="宋体"/>
                <w:color w:val="auto"/>
                <w:sz w:val="21"/>
                <w:szCs w:val="21"/>
                <w:highlight w:val="none"/>
                <w:u w:val="none"/>
                <w:lang w:val="en-US" w:eastAsia="zh-CN"/>
              </w:rPr>
              <w:t>黄天懿</w:t>
            </w:r>
          </w:p>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邮箱：</w:t>
            </w:r>
            <w:r>
              <w:rPr>
                <w:rFonts w:hint="eastAsia" w:ascii="宋体" w:hAnsi="宋体" w:eastAsia="宋体" w:cs="宋体"/>
                <w:color w:val="auto"/>
                <w:sz w:val="21"/>
                <w:szCs w:val="21"/>
                <w:highlight w:val="none"/>
                <w:u w:val="none"/>
                <w:lang w:val="en-US" w:eastAsia="zh-CN"/>
              </w:rPr>
              <w:t>zbzx2807659@163.com</w:t>
            </w:r>
            <w:r>
              <w:rPr>
                <w:rFonts w:hint="eastAsia" w:ascii="宋体" w:hAnsi="宋体" w:eastAsia="宋体" w:cs="宋体"/>
                <w:color w:val="auto"/>
                <w:sz w:val="21"/>
                <w:szCs w:val="21"/>
                <w:highlight w:val="none"/>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供应商产生方法</w:t>
            </w:r>
          </w:p>
        </w:tc>
        <w:tc>
          <w:tcPr>
            <w:tcW w:w="60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公告</w:t>
            </w:r>
          </w:p>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供应商库抽取</w:t>
            </w:r>
          </w:p>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专家和采购人推荐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符合要求供应商家数</w:t>
            </w:r>
          </w:p>
        </w:tc>
        <w:tc>
          <w:tcPr>
            <w:tcW w:w="60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是否允许符合要求的供应商只有2家时可以继续进行采购活动：</w:t>
            </w:r>
          </w:p>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 xml:space="preserve">否 </w:t>
            </w:r>
          </w:p>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sym w:font="Wingdings 2" w:char="0052"/>
            </w:r>
            <w:r>
              <w:rPr>
                <w:rFonts w:hint="eastAsia" w:ascii="宋体" w:hAnsi="宋体" w:eastAsia="宋体" w:cs="宋体"/>
                <w:color w:val="auto"/>
                <w:sz w:val="21"/>
                <w:szCs w:val="21"/>
                <w:highlight w:val="none"/>
              </w:rPr>
              <w:t>是，[本项目属于</w:t>
            </w:r>
            <w:r>
              <w:rPr>
                <w:rFonts w:hint="eastAsia" w:ascii="宋体" w:hAnsi="宋体" w:eastAsia="宋体" w:cs="宋体"/>
                <w:i/>
                <w:color w:val="auto"/>
                <w:sz w:val="21"/>
                <w:szCs w:val="21"/>
                <w:highlight w:val="none"/>
                <w:u w:val="single"/>
              </w:rPr>
              <w:t>①采用竞争性磋商采购方式组织实施的市场竞争不充分的科研项目、需要扶持的科技成果转化项目；②政府购买服务项目(含政府和社会资本合作项目</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供应商资格要求</w:t>
            </w:r>
          </w:p>
        </w:tc>
        <w:tc>
          <w:tcPr>
            <w:tcW w:w="605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pPr>
              <w:spacing w:line="560" w:lineRule="exact"/>
              <w:rPr>
                <w:rStyle w:val="21"/>
                <w:rFonts w:ascii="Times New Roman" w:hAnsi="Times New Roman"/>
                <w:color w:val="auto"/>
                <w:szCs w:val="30"/>
                <w:highlight w:val="none"/>
              </w:rPr>
            </w:pPr>
            <w:r>
              <w:rPr>
                <w:rFonts w:hint="eastAsia" w:ascii="宋体" w:hAnsi="宋体" w:eastAsia="宋体" w:cs="宋体"/>
                <w:color w:val="auto"/>
                <w:sz w:val="21"/>
                <w:szCs w:val="21"/>
                <w:highlight w:val="none"/>
                <w:lang w:val="en-US" w:eastAsia="zh-CN"/>
              </w:rPr>
              <w:t>2.</w:t>
            </w:r>
            <w:r>
              <w:rPr>
                <w:rStyle w:val="21"/>
                <w:rFonts w:ascii="Times New Roman" w:hAnsi="Times New Roman"/>
                <w:color w:val="auto"/>
                <w:szCs w:val="30"/>
                <w:highlight w:val="none"/>
              </w:rPr>
              <w:t>本项目由符合国家有关法律法规规定、同时满足本项目资质要求、在中国境内注册的合格供应商参加。</w:t>
            </w:r>
          </w:p>
          <w:p>
            <w:pPr>
              <w:spacing w:line="560" w:lineRule="exact"/>
              <w:rPr>
                <w:rStyle w:val="21"/>
                <w:rFonts w:ascii="Times New Roman" w:hAnsi="Times New Roman"/>
                <w:color w:val="auto"/>
                <w:szCs w:val="30"/>
                <w:highlight w:val="none"/>
              </w:rPr>
            </w:pPr>
            <w:r>
              <w:rPr>
                <w:rFonts w:hint="eastAsia" w:ascii="宋体" w:hAnsi="宋体" w:eastAsia="宋体" w:cs="宋体"/>
                <w:color w:val="auto"/>
                <w:sz w:val="21"/>
                <w:szCs w:val="21"/>
                <w:highlight w:val="none"/>
                <w:lang w:val="en-US" w:eastAsia="zh-CN"/>
              </w:rPr>
              <w:t>3.</w:t>
            </w:r>
            <w:r>
              <w:rPr>
                <w:rStyle w:val="21"/>
                <w:rFonts w:ascii="Times New Roman" w:hAnsi="Times New Roman"/>
                <w:color w:val="auto"/>
                <w:szCs w:val="30"/>
                <w:highlight w:val="none"/>
              </w:rPr>
              <w:t>不存在不良信用记录（在“信用中国”网站&lt;www.creditchina.gov.cn&gt;、中国政府采购网&lt;www.ccgp.gov.cn&gt;等渠道被列入失信被执行人、重大税收违法案件当事人名单、政府采购严重违法失信行为记录名单的供应商将被拒绝其参与本次政府采购活动）。</w:t>
            </w:r>
          </w:p>
          <w:p>
            <w:pPr>
              <w:spacing w:line="560" w:lineRule="exact"/>
              <w:rPr>
                <w:rStyle w:val="21"/>
                <w:rFonts w:ascii="Times New Roman" w:hAnsi="Times New Roman"/>
                <w:color w:val="auto"/>
                <w:szCs w:val="30"/>
                <w:highlight w:val="none"/>
              </w:rPr>
            </w:pPr>
            <w:r>
              <w:rPr>
                <w:rFonts w:hint="eastAsia" w:ascii="宋体" w:hAnsi="宋体" w:eastAsia="宋体" w:cs="宋体"/>
                <w:color w:val="auto"/>
                <w:sz w:val="21"/>
                <w:szCs w:val="21"/>
                <w:highlight w:val="none"/>
                <w:lang w:val="en-US" w:eastAsia="zh-CN"/>
              </w:rPr>
              <w:t>4.</w:t>
            </w:r>
            <w:r>
              <w:rPr>
                <w:rStyle w:val="21"/>
                <w:rFonts w:ascii="Times New Roman" w:hAnsi="Times New Roman"/>
                <w:color w:val="auto"/>
                <w:szCs w:val="30"/>
                <w:highlight w:val="none"/>
              </w:rPr>
              <w:t>单位负责人为同一人或者存在直接控股、管理关系的不同供应商，不得参加同一合同项下的政府采购活动。</w:t>
            </w:r>
          </w:p>
          <w:p>
            <w:pPr>
              <w:adjustRightInd w:val="0"/>
              <w:snapToGrid w:val="0"/>
              <w:spacing w:after="0" w:line="360" w:lineRule="auto"/>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5.</w:t>
            </w:r>
            <w:r>
              <w:rPr>
                <w:rStyle w:val="21"/>
                <w:rFonts w:ascii="Times New Roman" w:hAnsi="Times New Roman"/>
                <w:color w:val="auto"/>
                <w:szCs w:val="30"/>
                <w:highlight w:val="none"/>
              </w:rPr>
              <w:t>为本项目提供整体设计、规范编制或者项目管理、监理、检测等服务的供应商，不得再参加本次政府采购活动</w:t>
            </w:r>
            <w:r>
              <w:rPr>
                <w:rFonts w:ascii="Times New Roman" w:hAnsi="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98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是否接受联合体磋商</w:t>
            </w:r>
          </w:p>
        </w:tc>
        <w:tc>
          <w:tcPr>
            <w:tcW w:w="60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不接受</w:t>
            </w:r>
          </w:p>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接受（接受联合体且供应商为联合体的，供应商应提供联合体协议；否则无须提供）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98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采购标的对应的中小企业划分标准所属行业</w:t>
            </w:r>
          </w:p>
        </w:tc>
        <w:tc>
          <w:tcPr>
            <w:tcW w:w="60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w:t>
            </w:r>
            <w:r>
              <w:rPr>
                <w:rFonts w:hint="eastAsia" w:ascii="宋体" w:hAnsi="宋体" w:eastAsia="宋体" w:cs="宋体"/>
                <w:color w:val="auto"/>
                <w:sz w:val="21"/>
                <w:szCs w:val="21"/>
                <w:highlight w:val="none"/>
              </w:rPr>
              <w:t>他</w:t>
            </w:r>
            <w:r>
              <w:rPr>
                <w:rFonts w:hint="eastAsia" w:ascii="宋体" w:hAnsi="宋体" w:eastAsia="宋体" w:cs="宋体"/>
                <w:color w:val="auto"/>
                <w:sz w:val="21"/>
                <w:szCs w:val="21"/>
                <w:highlight w:val="none"/>
                <w:lang w:val="en-US" w:eastAsia="zh-CN"/>
              </w:rPr>
              <w:t>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98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非主体、非关键性工作分包</w:t>
            </w:r>
          </w:p>
        </w:tc>
        <w:tc>
          <w:tcPr>
            <w:tcW w:w="60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是否允许供应商将本项目的非主体、非关键性工作进行分包：</w:t>
            </w:r>
          </w:p>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w:t>
            </w:r>
          </w:p>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不允许</w:t>
            </w:r>
          </w:p>
          <w:p>
            <w:pPr>
              <w:adjustRightInd w:val="0"/>
              <w:snapToGrid w:val="0"/>
              <w:spacing w:after="0" w:line="360" w:lineRule="auto"/>
              <w:jc w:val="left"/>
              <w:rPr>
                <w:rFonts w:hint="eastAsia" w:ascii="宋体" w:hAnsi="宋体" w:eastAsia="宋体" w:cs="宋体"/>
                <w:i/>
                <w:color w:val="auto"/>
                <w:sz w:val="21"/>
                <w:szCs w:val="21"/>
                <w:highlight w:val="none"/>
                <w:u w:val="single"/>
              </w:rPr>
            </w:pPr>
            <w:r>
              <w:rPr>
                <w:rFonts w:hint="eastAsia" w:ascii="宋体" w:hAnsi="宋体" w:eastAsia="宋体" w:cs="宋体"/>
                <w:color w:val="auto"/>
                <w:sz w:val="21"/>
                <w:szCs w:val="21"/>
                <w:highlight w:val="none"/>
              </w:rPr>
              <w:t>□允许，</w:t>
            </w:r>
            <w:r>
              <w:rPr>
                <w:rFonts w:hint="eastAsia" w:ascii="宋体" w:hAnsi="宋体" w:eastAsia="宋体" w:cs="宋体"/>
                <w:i/>
                <w:color w:val="auto"/>
                <w:sz w:val="21"/>
                <w:szCs w:val="21"/>
                <w:highlight w:val="none"/>
                <w:u w:val="single"/>
              </w:rPr>
              <w:t>（写明可以分包履行的具体内容、金额或者比例）</w:t>
            </w:r>
          </w:p>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采购包2：</w:t>
            </w:r>
            <w:r>
              <w:rPr>
                <w:rFonts w:hint="eastAsia" w:ascii="宋体" w:hAnsi="宋体" w:eastAsia="宋体" w:cs="宋体"/>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984" w:type="dxa"/>
            <w:vAlign w:val="center"/>
          </w:tcPr>
          <w:p>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核心产品</w:t>
            </w:r>
          </w:p>
        </w:tc>
        <w:tc>
          <w:tcPr>
            <w:tcW w:w="6058" w:type="dxa"/>
            <w:gridSpan w:val="2"/>
            <w:vAlign w:val="center"/>
          </w:tcPr>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货物类项目填写此栏</w:t>
            </w:r>
          </w:p>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无</w:t>
            </w:r>
          </w:p>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有</w:t>
            </w:r>
          </w:p>
          <w:p>
            <w:pPr>
              <w:adjustRightInd w:val="0"/>
              <w:snapToGrid w:val="0"/>
              <w:spacing w:after="0" w:line="360" w:lineRule="auto"/>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产品名称：</w:t>
            </w:r>
            <w:r>
              <w:rPr>
                <w:rFonts w:hint="eastAsia" w:ascii="宋体" w:hAnsi="宋体" w:eastAsia="宋体" w:cs="宋体"/>
                <w:color w:val="auto"/>
                <w:sz w:val="21"/>
                <w:szCs w:val="21"/>
                <w:highlight w:val="none"/>
                <w:u w:val="single"/>
              </w:rPr>
              <w:t xml:space="preserve">      </w:t>
            </w:r>
          </w:p>
          <w:p>
            <w:pPr>
              <w:adjustRightInd w:val="0"/>
              <w:snapToGrid w:val="0"/>
              <w:spacing w:after="0"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在本采购项目中，提供相同品牌产品且通过资格审查、实质性响应审查的不同供应商参加同一合同项下磋商的，按一家供应商计算，评审后得分最高的同品牌供应商获得成交供应商推荐资格；评审得分相同的，由采购人或者采购人委托磋商小组按照</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的方式</w:t>
            </w:r>
            <w:r>
              <w:rPr>
                <w:rFonts w:hint="eastAsia" w:ascii="宋体" w:hAnsi="宋体" w:eastAsia="宋体" w:cs="宋体"/>
                <w:b/>
                <w:bCs/>
                <w:color w:val="auto"/>
                <w:sz w:val="21"/>
                <w:szCs w:val="21"/>
                <w:highlight w:val="none"/>
              </w:rPr>
              <w:t>确定一个供应商获得成交供应商推荐资格，磋商文件未规定的采取随机抽取方式确定，其他同品牌供应商不作为成交候选人。</w:t>
            </w:r>
          </w:p>
          <w:p>
            <w:pPr>
              <w:adjustRightInd w:val="0"/>
              <w:snapToGrid w:val="0"/>
              <w:spacing w:after="0" w:line="360" w:lineRule="auto"/>
              <w:jc w:val="left"/>
              <w:rPr>
                <w:rFonts w:hint="eastAsia" w:ascii="宋体" w:hAnsi="宋体" w:eastAsia="宋体" w:cs="宋体"/>
                <w:color w:val="auto"/>
                <w:sz w:val="21"/>
                <w:szCs w:val="21"/>
                <w:highlight w:val="none"/>
                <w:u w:val="single"/>
              </w:rPr>
            </w:pPr>
            <w:r>
              <w:rPr>
                <w:rFonts w:hint="eastAsia" w:ascii="宋体" w:hAnsi="宋体" w:eastAsia="宋体" w:cs="宋体"/>
                <w:b/>
                <w:bCs/>
                <w:color w:val="auto"/>
                <w:sz w:val="21"/>
                <w:szCs w:val="21"/>
                <w:highlight w:val="none"/>
              </w:rPr>
              <w:t>单个采购包按以上条款计算的供应商家数不足规定家数的，则该采购包的采购活动结束。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984" w:type="dxa"/>
            <w:vAlign w:val="center"/>
          </w:tcPr>
          <w:p>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采购进口产品</w:t>
            </w:r>
          </w:p>
        </w:tc>
        <w:tc>
          <w:tcPr>
            <w:tcW w:w="6058" w:type="dxa"/>
            <w:gridSpan w:val="2"/>
            <w:vAlign w:val="center"/>
          </w:tcPr>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本采购项目拒绝进口产品参加磋商</w:t>
            </w:r>
          </w:p>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□本采购项目已经财政部审核同意购买进口产品</w:t>
            </w:r>
          </w:p>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其他____________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984" w:type="dxa"/>
            <w:vAlign w:val="center"/>
          </w:tcPr>
          <w:p>
            <w:pPr>
              <w:adjustRightInd w:val="0"/>
              <w:snapToGrid w:val="0"/>
              <w:spacing w:after="0" w:line="360" w:lineRule="auto"/>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信息发布媒体</w:t>
            </w:r>
          </w:p>
        </w:tc>
        <w:tc>
          <w:tcPr>
            <w:tcW w:w="6058" w:type="dxa"/>
            <w:gridSpan w:val="2"/>
            <w:vAlign w:val="center"/>
          </w:tcPr>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val="0"/>
                <w:bCs w:val="0"/>
                <w:color w:val="auto"/>
                <w:sz w:val="21"/>
                <w:szCs w:val="21"/>
                <w:highlight w:val="none"/>
                <w:lang w:eastAsia="zh-CN"/>
              </w:rPr>
              <w:t>国家税务总局广西壮族自治区税务局南宁市频道（http://guangxi.chinatax.gov.cn/nanning/）</w:t>
            </w:r>
          </w:p>
          <w:p>
            <w:pPr>
              <w:adjustRightInd w:val="0"/>
              <w:snapToGrid w:val="0"/>
              <w:spacing w:after="0"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广西招标网（http://www.guangxibid.com.cn/）</w:t>
            </w:r>
          </w:p>
          <w:p>
            <w:pPr>
              <w:adjustRightInd w:val="0"/>
              <w:snapToGrid w:val="0"/>
              <w:spacing w:after="0"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广西阳光采购服务平台（https://ygcg.bbwcq.com/）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984" w:type="dxa"/>
            <w:vAlign w:val="center"/>
          </w:tcPr>
          <w:p>
            <w:pPr>
              <w:topLinePunct/>
              <w:autoSpaceDE w:val="0"/>
              <w:autoSpaceDN w:val="0"/>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获取采购文件</w:t>
            </w:r>
          </w:p>
          <w:p>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时间、地点和</w:t>
            </w:r>
          </w:p>
          <w:p>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方式等</w:t>
            </w:r>
          </w:p>
        </w:tc>
        <w:tc>
          <w:tcPr>
            <w:tcW w:w="6058" w:type="dxa"/>
            <w:gridSpan w:val="2"/>
            <w:vAlign w:val="center"/>
          </w:tcPr>
          <w:p>
            <w:pPr>
              <w:adjustRightInd w:val="0"/>
              <w:snapToGrid w:val="0"/>
              <w:spacing w:after="0"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u w:val="single"/>
                <w:lang w:val="en-US" w:eastAsia="zh-CN"/>
              </w:rPr>
              <w:t>2024</w:t>
            </w:r>
            <w:r>
              <w:rPr>
                <w:rFonts w:hint="eastAsia" w:ascii="宋体" w:hAnsi="宋体" w:eastAsia="宋体" w:cs="宋体"/>
                <w:bCs/>
                <w:color w:val="auto"/>
                <w:sz w:val="21"/>
                <w:szCs w:val="21"/>
                <w:highlight w:val="non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bCs/>
                <w:color w:val="auto"/>
                <w:sz w:val="21"/>
                <w:szCs w:val="21"/>
                <w:highlight w:val="none"/>
              </w:rPr>
              <w:t>月</w:t>
            </w:r>
            <w:r>
              <w:rPr>
                <w:rFonts w:hint="eastAsia" w:ascii="宋体" w:hAnsi="宋体" w:cs="宋体"/>
                <w:color w:val="auto"/>
                <w:sz w:val="21"/>
                <w:szCs w:val="21"/>
                <w:highlight w:val="none"/>
                <w:u w:val="single"/>
                <w:lang w:val="en-US" w:eastAsia="zh-CN"/>
              </w:rPr>
              <w:t>2</w:t>
            </w:r>
            <w:r>
              <w:rPr>
                <w:rFonts w:hint="eastAsia" w:ascii="宋体" w:hAnsi="宋体" w:eastAsia="宋体" w:cs="宋体"/>
                <w:bCs/>
                <w:color w:val="auto"/>
                <w:sz w:val="21"/>
                <w:szCs w:val="21"/>
                <w:highlight w:val="none"/>
              </w:rPr>
              <w:t>日至</w:t>
            </w:r>
            <w:r>
              <w:rPr>
                <w:rFonts w:hint="eastAsia" w:ascii="宋体" w:hAnsi="宋体" w:eastAsia="宋体" w:cs="宋体"/>
                <w:color w:val="auto"/>
                <w:sz w:val="21"/>
                <w:szCs w:val="21"/>
                <w:highlight w:val="none"/>
                <w:u w:val="single"/>
                <w:lang w:val="en-US" w:eastAsia="zh-CN"/>
              </w:rPr>
              <w:t>2024</w:t>
            </w:r>
            <w:r>
              <w:rPr>
                <w:rFonts w:hint="eastAsia" w:ascii="宋体" w:hAnsi="宋体" w:eastAsia="宋体" w:cs="宋体"/>
                <w:bCs/>
                <w:color w:val="auto"/>
                <w:sz w:val="21"/>
                <w:szCs w:val="21"/>
                <w:highlight w:val="non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bCs/>
                <w:color w:val="auto"/>
                <w:sz w:val="21"/>
                <w:szCs w:val="21"/>
                <w:highlight w:val="none"/>
              </w:rPr>
              <w:t>月</w:t>
            </w:r>
            <w:r>
              <w:rPr>
                <w:rFonts w:hint="eastAsia" w:ascii="宋体" w:hAnsi="宋体" w:cs="宋体"/>
                <w:color w:val="auto"/>
                <w:sz w:val="21"/>
                <w:szCs w:val="21"/>
                <w:highlight w:val="none"/>
                <w:u w:val="single"/>
                <w:lang w:val="en-US" w:eastAsia="zh-CN"/>
              </w:rPr>
              <w:t>9</w:t>
            </w:r>
            <w:r>
              <w:rPr>
                <w:rFonts w:hint="eastAsia" w:ascii="宋体" w:hAnsi="宋体" w:eastAsia="宋体" w:cs="宋体"/>
                <w:bCs/>
                <w:color w:val="auto"/>
                <w:sz w:val="21"/>
                <w:szCs w:val="21"/>
                <w:highlight w:val="none"/>
              </w:rPr>
              <w:t>日每天上午</w:t>
            </w:r>
            <w:r>
              <w:rPr>
                <w:rFonts w:hint="eastAsia" w:ascii="宋体" w:hAnsi="宋体" w:eastAsia="宋体" w:cs="宋体"/>
                <w:color w:val="auto"/>
                <w:sz w:val="21"/>
                <w:szCs w:val="21"/>
                <w:highlight w:val="none"/>
                <w:u w:val="single"/>
                <w:lang w:val="en-US" w:eastAsia="zh-CN"/>
              </w:rPr>
              <w:t>8：00</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lang w:val="en-US" w:eastAsia="zh-CN"/>
              </w:rPr>
              <w:t>12：00</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下午</w:t>
            </w:r>
            <w:r>
              <w:rPr>
                <w:rFonts w:hint="eastAsia" w:ascii="宋体" w:hAnsi="宋体" w:eastAsia="宋体" w:cs="宋体"/>
                <w:color w:val="auto"/>
                <w:sz w:val="21"/>
                <w:szCs w:val="21"/>
                <w:highlight w:val="none"/>
                <w:u w:val="single"/>
                <w:lang w:val="en-US" w:eastAsia="zh-CN"/>
              </w:rPr>
              <w:t>3：00</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lang w:val="en-US" w:eastAsia="zh-CN"/>
              </w:rPr>
              <w:t>6：00</w:t>
            </w:r>
            <w:r>
              <w:rPr>
                <w:rFonts w:hint="eastAsia" w:ascii="宋体" w:hAnsi="宋体" w:eastAsia="宋体" w:cs="宋体"/>
                <w:bCs/>
                <w:color w:val="auto"/>
                <w:sz w:val="21"/>
                <w:szCs w:val="21"/>
                <w:highlight w:val="none"/>
              </w:rPr>
              <w:t>（北京时间，法定节假日除外）</w:t>
            </w:r>
          </w:p>
          <w:p>
            <w:pPr>
              <w:adjustRightInd w:val="0"/>
              <w:snapToGrid w:val="0"/>
              <w:spacing w:after="0" w:line="360" w:lineRule="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地点：</w:t>
            </w:r>
            <w:r>
              <w:rPr>
                <w:rFonts w:hint="eastAsia" w:ascii="宋体" w:hAnsi="宋体" w:eastAsia="宋体" w:cs="宋体"/>
                <w:color w:val="auto"/>
                <w:kern w:val="2"/>
                <w:sz w:val="21"/>
                <w:szCs w:val="21"/>
                <w:highlight w:val="none"/>
                <w:lang w:val="en-US" w:eastAsia="zh-CN" w:bidi="ar"/>
              </w:rPr>
              <w:t>广西</w:t>
            </w:r>
            <w:r>
              <w:rPr>
                <w:rFonts w:hint="eastAsia" w:ascii="宋体" w:hAnsi="宋体" w:eastAsia="宋体" w:cs="宋体"/>
                <w:i w:val="0"/>
                <w:iCs w:val="0"/>
                <w:caps w:val="0"/>
                <w:color w:val="auto"/>
                <w:spacing w:val="0"/>
                <w:sz w:val="21"/>
                <w:szCs w:val="21"/>
                <w:highlight w:val="none"/>
                <w:shd w:val="clear" w:color="auto" w:fill="auto"/>
              </w:rPr>
              <w:t>阳光采购服务平台（网址：https://gxygcg.ejy36</w:t>
            </w:r>
            <w:r>
              <w:rPr>
                <w:rFonts w:hint="eastAsia" w:ascii="宋体" w:hAnsi="宋体" w:eastAsia="宋体" w:cs="宋体"/>
                <w:i w:val="0"/>
                <w:iCs w:val="0"/>
                <w:caps w:val="0"/>
                <w:color w:val="auto"/>
                <w:spacing w:val="0"/>
                <w:sz w:val="21"/>
                <w:szCs w:val="21"/>
                <w:highlight w:val="none"/>
                <w:shd w:val="clear" w:color="auto" w:fill="auto"/>
                <w:lang w:eastAsia="zh-CN"/>
              </w:rPr>
              <w:t>4.</w:t>
            </w:r>
            <w:r>
              <w:rPr>
                <w:rFonts w:hint="eastAsia" w:ascii="宋体" w:hAnsi="宋体" w:eastAsia="宋体" w:cs="宋体"/>
                <w:color w:val="auto"/>
                <w:kern w:val="2"/>
                <w:sz w:val="21"/>
                <w:szCs w:val="21"/>
                <w:highlight w:val="none"/>
                <w:lang w:val="en-US" w:eastAsia="zh-CN" w:bidi="ar"/>
              </w:rPr>
              <w:t>com</w:t>
            </w:r>
            <w:r>
              <w:rPr>
                <w:rFonts w:hint="eastAsia" w:ascii="宋体" w:hAnsi="宋体" w:eastAsia="宋体" w:cs="宋体"/>
                <w:i w:val="0"/>
                <w:iCs w:val="0"/>
                <w:caps w:val="0"/>
                <w:color w:val="auto"/>
                <w:spacing w:val="0"/>
                <w:sz w:val="21"/>
                <w:szCs w:val="21"/>
                <w:highlight w:val="none"/>
                <w:shd w:val="clear" w:color="auto" w:fill="auto"/>
              </w:rPr>
              <w:t>）首页→登录</w:t>
            </w:r>
            <w:r>
              <w:rPr>
                <w:rFonts w:hint="eastAsia" w:ascii="宋体" w:hAnsi="宋体" w:eastAsia="宋体" w:cs="宋体"/>
                <w:color w:val="auto"/>
                <w:kern w:val="2"/>
                <w:sz w:val="21"/>
                <w:szCs w:val="21"/>
                <w:highlight w:val="none"/>
                <w:lang w:val="en-US" w:eastAsia="zh-CN" w:bidi="ar"/>
              </w:rPr>
              <w:t>入口→</w:t>
            </w:r>
            <w:r>
              <w:rPr>
                <w:rFonts w:hint="eastAsia" w:ascii="宋体" w:hAnsi="宋体" w:eastAsia="宋体" w:cs="宋体"/>
                <w:i w:val="0"/>
                <w:iCs w:val="0"/>
                <w:caps w:val="0"/>
                <w:color w:val="auto"/>
                <w:spacing w:val="0"/>
                <w:sz w:val="21"/>
                <w:szCs w:val="21"/>
                <w:highlight w:val="none"/>
                <w:shd w:val="clear" w:color="auto" w:fill="auto"/>
              </w:rPr>
              <w:t>供应商登录</w:t>
            </w:r>
          </w:p>
          <w:p>
            <w:pPr>
              <w:topLinePunct/>
              <w:autoSpaceDE w:val="0"/>
              <w:autoSpaceDN w:val="0"/>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方式：</w:t>
            </w:r>
            <w:r>
              <w:rPr>
                <w:rFonts w:hint="eastAsia" w:ascii="宋体" w:hAnsi="宋体" w:eastAsia="宋体" w:cs="宋体"/>
                <w:i w:val="0"/>
                <w:iCs w:val="0"/>
                <w:caps w:val="0"/>
                <w:color w:val="auto"/>
                <w:spacing w:val="0"/>
                <w:sz w:val="21"/>
                <w:szCs w:val="21"/>
                <w:highlight w:val="none"/>
                <w:shd w:val="clear" w:color="auto" w:fill="auto"/>
              </w:rPr>
              <w:t>网上获取，供应商请登录</w:t>
            </w:r>
            <w:r>
              <w:rPr>
                <w:rFonts w:hint="eastAsia" w:ascii="宋体" w:hAnsi="宋体" w:eastAsia="宋体" w:cs="宋体"/>
                <w:color w:val="auto"/>
                <w:kern w:val="2"/>
                <w:sz w:val="21"/>
                <w:szCs w:val="21"/>
                <w:highlight w:val="none"/>
                <w:lang w:val="en-US" w:eastAsia="zh-CN" w:bidi="ar"/>
              </w:rPr>
              <w:t>广西</w:t>
            </w:r>
            <w:r>
              <w:rPr>
                <w:rFonts w:hint="eastAsia" w:ascii="宋体" w:hAnsi="宋体" w:eastAsia="宋体" w:cs="宋体"/>
                <w:i w:val="0"/>
                <w:iCs w:val="0"/>
                <w:caps w:val="0"/>
                <w:color w:val="auto"/>
                <w:spacing w:val="0"/>
                <w:sz w:val="21"/>
                <w:szCs w:val="21"/>
                <w:highlight w:val="none"/>
                <w:shd w:val="clear" w:color="auto" w:fill="auto"/>
              </w:rPr>
              <w:t>阳光</w:t>
            </w:r>
            <w:r>
              <w:rPr>
                <w:rFonts w:hint="eastAsia" w:ascii="宋体" w:hAnsi="宋体" w:eastAsia="宋体" w:cs="宋体"/>
                <w:color w:val="auto"/>
                <w:kern w:val="2"/>
                <w:sz w:val="21"/>
                <w:szCs w:val="21"/>
                <w:highlight w:val="none"/>
                <w:lang w:val="en-US" w:eastAsia="zh-CN" w:bidi="ar"/>
              </w:rPr>
              <w:t>采购</w:t>
            </w:r>
            <w:r>
              <w:rPr>
                <w:rFonts w:hint="eastAsia" w:ascii="宋体" w:hAnsi="宋体" w:eastAsia="宋体" w:cs="宋体"/>
                <w:i w:val="0"/>
                <w:iCs w:val="0"/>
                <w:caps w:val="0"/>
                <w:color w:val="auto"/>
                <w:spacing w:val="0"/>
                <w:sz w:val="21"/>
                <w:szCs w:val="21"/>
                <w:highlight w:val="none"/>
                <w:shd w:val="clear" w:color="auto" w:fill="auto"/>
              </w:rPr>
              <w:t>服务</w:t>
            </w:r>
            <w:r>
              <w:rPr>
                <w:rFonts w:hint="eastAsia" w:ascii="宋体" w:hAnsi="宋体" w:eastAsia="宋体" w:cs="宋体"/>
                <w:color w:val="auto"/>
                <w:kern w:val="2"/>
                <w:sz w:val="21"/>
                <w:szCs w:val="21"/>
                <w:highlight w:val="none"/>
                <w:lang w:val="en-US" w:eastAsia="zh-CN" w:bidi="ar"/>
              </w:rPr>
              <w:t>平台购买</w:t>
            </w:r>
            <w:r>
              <w:rPr>
                <w:rFonts w:hint="eastAsia" w:ascii="宋体" w:hAnsi="宋体" w:eastAsia="宋体" w:cs="宋体"/>
                <w:i w:val="0"/>
                <w:iCs w:val="0"/>
                <w:caps w:val="0"/>
                <w:color w:val="auto"/>
                <w:spacing w:val="0"/>
                <w:sz w:val="21"/>
                <w:szCs w:val="21"/>
                <w:highlight w:val="none"/>
                <w:shd w:val="clear" w:color="auto" w:fill="auto"/>
              </w:rPr>
              <w:t>及下载招标</w:t>
            </w:r>
            <w:r>
              <w:rPr>
                <w:rFonts w:hint="eastAsia" w:ascii="宋体" w:hAnsi="宋体" w:eastAsia="宋体" w:cs="宋体"/>
                <w:color w:val="auto"/>
                <w:kern w:val="2"/>
                <w:sz w:val="21"/>
                <w:szCs w:val="21"/>
                <w:highlight w:val="none"/>
                <w:lang w:val="en-US" w:eastAsia="zh-CN" w:bidi="ar"/>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984" w:type="dxa"/>
            <w:vAlign w:val="center"/>
          </w:tcPr>
          <w:p>
            <w:pPr>
              <w:topLinePunct/>
              <w:autoSpaceDE w:val="0"/>
              <w:autoSpaceDN w:val="0"/>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现场考察或召开磋商前答疑会</w:t>
            </w:r>
          </w:p>
        </w:tc>
        <w:tc>
          <w:tcPr>
            <w:tcW w:w="6058" w:type="dxa"/>
            <w:gridSpan w:val="2"/>
            <w:vAlign w:val="center"/>
          </w:tcPr>
          <w:p>
            <w:pPr>
              <w:numPr>
                <w:ilvl w:val="0"/>
                <w:numId w:val="0"/>
              </w:numPr>
              <w:tabs>
                <w:tab w:val="left" w:pos="0"/>
                <w:tab w:val="left" w:pos="420"/>
              </w:tabs>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不组织现场考察/召开磋商前答疑会</w:t>
            </w:r>
          </w:p>
          <w:p>
            <w:pPr>
              <w:numPr>
                <w:ilvl w:val="0"/>
                <w:numId w:val="0"/>
              </w:numPr>
              <w:tabs>
                <w:tab w:val="left" w:pos="0"/>
                <w:tab w:val="left" w:pos="420"/>
              </w:tabs>
              <w:adjustRightInd w:val="0"/>
              <w:snapToGrid w:val="0"/>
              <w:spacing w:after="0"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sym w:font="Wingdings 2" w:char="F0A3"/>
            </w:r>
            <w:r>
              <w:rPr>
                <w:rFonts w:hint="eastAsia" w:ascii="宋体" w:hAnsi="宋体" w:eastAsia="宋体" w:cs="宋体"/>
                <w:bCs/>
                <w:color w:val="auto"/>
                <w:sz w:val="21"/>
                <w:szCs w:val="21"/>
                <w:highlight w:val="none"/>
              </w:rPr>
              <w:t>组织现场考察/</w:t>
            </w:r>
            <w:r>
              <w:rPr>
                <w:rFonts w:hint="eastAsia" w:ascii="宋体" w:hAnsi="宋体" w:eastAsia="宋体" w:cs="宋体"/>
                <w:color w:val="auto"/>
                <w:sz w:val="21"/>
                <w:szCs w:val="21"/>
                <w:highlight w:val="none"/>
              </w:rPr>
              <w:t>召开磋商前答疑会</w:t>
            </w:r>
            <w:r>
              <w:rPr>
                <w:rFonts w:hint="eastAsia" w:ascii="宋体" w:hAnsi="宋体" w:eastAsia="宋体" w:cs="宋体"/>
                <w:bCs/>
                <w:color w:val="auto"/>
                <w:sz w:val="21"/>
                <w:szCs w:val="21"/>
                <w:highlight w:val="none"/>
              </w:rPr>
              <w:t>：</w:t>
            </w:r>
          </w:p>
          <w:p>
            <w:pPr>
              <w:numPr>
                <w:ilvl w:val="0"/>
                <w:numId w:val="0"/>
              </w:numPr>
              <w:tabs>
                <w:tab w:val="left" w:pos="0"/>
                <w:tab w:val="left" w:pos="420"/>
              </w:tabs>
              <w:adjustRightInd w:val="0"/>
              <w:snapToGrid w:val="0"/>
              <w:spacing w:after="0" w:line="360" w:lineRule="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（北京时间）</w:t>
            </w:r>
          </w:p>
          <w:p>
            <w:pPr>
              <w:numPr>
                <w:ilvl w:val="0"/>
                <w:numId w:val="0"/>
              </w:numPr>
              <w:tabs>
                <w:tab w:val="left" w:pos="0"/>
                <w:tab w:val="left" w:pos="420"/>
              </w:tabs>
              <w:adjustRightInd w:val="0"/>
              <w:snapToGrid w:val="0"/>
              <w:spacing w:after="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地点：</w:t>
            </w:r>
            <w:r>
              <w:rPr>
                <w:rFonts w:hint="eastAsia" w:ascii="宋体" w:hAnsi="宋体" w:eastAsia="宋体" w:cs="宋体"/>
                <w:b/>
                <w:color w:val="auto"/>
                <w:sz w:val="21"/>
                <w:szCs w:val="21"/>
                <w:highlight w:val="none"/>
                <w:u w:val="single"/>
              </w:rPr>
              <w:t xml:space="preserve">                 </w:t>
            </w:r>
          </w:p>
          <w:p>
            <w:pPr>
              <w:numPr>
                <w:ilvl w:val="0"/>
                <w:numId w:val="0"/>
              </w:numPr>
              <w:tabs>
                <w:tab w:val="left" w:pos="0"/>
                <w:tab w:val="left" w:pos="420"/>
              </w:tabs>
              <w:adjustRightInd w:val="0"/>
              <w:snapToGrid w:val="0"/>
              <w:spacing w:after="0" w:line="360" w:lineRule="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联系人：</w:t>
            </w:r>
            <w:r>
              <w:rPr>
                <w:rFonts w:hint="eastAsia" w:ascii="宋体" w:hAnsi="宋体" w:eastAsia="宋体" w:cs="宋体"/>
                <w:b/>
                <w:color w:val="auto"/>
                <w:sz w:val="21"/>
                <w:szCs w:val="21"/>
                <w:highlight w:val="none"/>
                <w:u w:val="single"/>
              </w:rPr>
              <w:t xml:space="preserve">               </w:t>
            </w:r>
          </w:p>
          <w:p>
            <w:pPr>
              <w:numPr>
                <w:ilvl w:val="0"/>
                <w:numId w:val="0"/>
              </w:numPr>
              <w:tabs>
                <w:tab w:val="left" w:pos="0"/>
                <w:tab w:val="left" w:pos="420"/>
              </w:tabs>
              <w:adjustRightInd w:val="0"/>
              <w:snapToGrid w:val="0"/>
              <w:spacing w:after="0" w:line="360" w:lineRule="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联系电话：</w:t>
            </w:r>
            <w:r>
              <w:rPr>
                <w:rFonts w:hint="eastAsia" w:ascii="宋体" w:hAnsi="宋体" w:eastAsia="宋体" w:cs="宋体"/>
                <w:color w:val="auto"/>
                <w:sz w:val="21"/>
                <w:szCs w:val="21"/>
                <w:highlight w:val="none"/>
                <w:u w:val="single"/>
              </w:rPr>
              <w:t xml:space="preserve">             </w:t>
            </w:r>
          </w:p>
          <w:p>
            <w:pPr>
              <w:numPr>
                <w:ilvl w:val="0"/>
                <w:numId w:val="0"/>
              </w:numPr>
              <w:tabs>
                <w:tab w:val="left" w:pos="0"/>
                <w:tab w:val="left" w:pos="420"/>
              </w:tabs>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r>
              <w:rPr>
                <w:rFonts w:hint="eastAsia" w:ascii="宋体" w:hAnsi="宋体" w:eastAsia="宋体" w:cs="宋体"/>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984" w:type="dxa"/>
            <w:vAlign w:val="center"/>
          </w:tcPr>
          <w:p>
            <w:pPr>
              <w:topLinePunct/>
              <w:autoSpaceDE w:val="0"/>
              <w:autoSpaceDN w:val="0"/>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样品</w:t>
            </w:r>
          </w:p>
        </w:tc>
        <w:tc>
          <w:tcPr>
            <w:tcW w:w="6058" w:type="dxa"/>
            <w:gridSpan w:val="2"/>
            <w:vAlign w:val="center"/>
          </w:tcPr>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不要求提供</w:t>
            </w:r>
          </w:p>
          <w:p>
            <w:pPr>
              <w:adjustRightInd w:val="0"/>
              <w:snapToGrid w:val="0"/>
              <w:spacing w:after="0" w:line="36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sym w:font="Wingdings 2" w:char="F0A3"/>
            </w:r>
            <w:r>
              <w:rPr>
                <w:rFonts w:hint="eastAsia" w:ascii="宋体" w:hAnsi="宋体" w:eastAsia="宋体" w:cs="宋体"/>
                <w:bCs/>
                <w:color w:val="auto"/>
                <w:sz w:val="21"/>
                <w:szCs w:val="21"/>
                <w:highlight w:val="none"/>
              </w:rPr>
              <w:t>要求提供：</w:t>
            </w:r>
          </w:p>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1.样品制作的标准和要求：____________________</w:t>
            </w:r>
          </w:p>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2.样品检测报告：(□否；□是，检测机构的要求、检测内容详见第六章项目采购需求)</w:t>
            </w:r>
          </w:p>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3.样品的评审方法及评审标准：内容详见第三章评审办法及标准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vAlign w:val="center"/>
          </w:tcPr>
          <w:p>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984" w:type="dxa"/>
            <w:vMerge w:val="restart"/>
            <w:vAlign w:val="center"/>
          </w:tcPr>
          <w:p>
            <w:pPr>
              <w:topLinePunct/>
              <w:autoSpaceDE w:val="0"/>
              <w:autoSpaceDN w:val="0"/>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响应文件组成</w:t>
            </w:r>
          </w:p>
        </w:tc>
        <w:tc>
          <w:tcPr>
            <w:tcW w:w="851" w:type="dxa"/>
            <w:vMerge w:val="restart"/>
            <w:vAlign w:val="center"/>
          </w:tcPr>
          <w:p>
            <w:pPr>
              <w:topLinePunct/>
              <w:autoSpaceDE w:val="0"/>
              <w:autoSpaceDN w:val="0"/>
              <w:adjustRightInd w:val="0"/>
              <w:snapToGrid w:val="0"/>
              <w:spacing w:after="0"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商务部</w:t>
            </w:r>
            <w:r>
              <w:rPr>
                <w:rFonts w:hint="eastAsia" w:ascii="宋体" w:hAnsi="宋体" w:eastAsia="宋体" w:cs="宋体"/>
                <w:bCs/>
                <w:color w:val="auto"/>
                <w:sz w:val="21"/>
                <w:szCs w:val="21"/>
                <w:highlight w:val="none"/>
              </w:rPr>
              <w:t>分</w:t>
            </w:r>
          </w:p>
        </w:tc>
        <w:tc>
          <w:tcPr>
            <w:tcW w:w="5207" w:type="dxa"/>
            <w:vAlign w:val="center"/>
          </w:tcPr>
          <w:p>
            <w:pPr>
              <w:widowControl/>
              <w:tabs>
                <w:tab w:val="left" w:pos="0"/>
                <w:tab w:val="left" w:pos="420"/>
              </w:tabs>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一、资格证明文件：</w:t>
            </w:r>
          </w:p>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1.★法人或者其他组织的营业执照等证明文件，自然人的身份证明复印件；</w:t>
            </w:r>
          </w:p>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2.★财务状况报告：</w:t>
            </w:r>
            <w:r>
              <w:rPr>
                <w:rFonts w:hint="eastAsia" w:ascii="宋体" w:hAnsi="宋体" w:eastAsia="宋体" w:cs="宋体"/>
                <w:color w:val="auto"/>
                <w:sz w:val="21"/>
                <w:szCs w:val="21"/>
                <w:highlight w:val="none"/>
                <w:lang w:val="en-US" w:eastAsia="zh-CN"/>
              </w:rPr>
              <w:t>2022</w:t>
            </w:r>
            <w:r>
              <w:rPr>
                <w:rFonts w:hint="eastAsia" w:ascii="宋体" w:hAnsi="宋体" w:eastAsia="宋体" w:cs="宋体"/>
                <w:color w:val="auto"/>
                <w:sz w:val="21"/>
                <w:szCs w:val="21"/>
                <w:highlight w:val="none"/>
              </w:rPr>
              <w:t>年度经会计师事务所审计的财务报告（须上传加盖会计师事务所公章及注册会计师签章的扫描件）；没有经审计的财务报告的，可以提供基本开户银行出具的资信证明复印件；</w:t>
            </w:r>
          </w:p>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3.★依法缴纳税收：</w:t>
            </w:r>
            <w:r>
              <w:rPr>
                <w:rFonts w:hint="eastAsia" w:ascii="宋体" w:hAnsi="宋体" w:eastAsia="宋体" w:cs="宋体"/>
                <w:color w:val="auto"/>
                <w:sz w:val="21"/>
                <w:szCs w:val="21"/>
                <w:highlight w:val="none"/>
                <w:lang w:val="en-US" w:eastAsia="zh-CN"/>
              </w:rPr>
              <w:t>2023</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月以来不少于</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个月依法缴纳税收（不包括个人所得税）的相关材料，如依法免税或不需要纳税的，则应提供相应证明材料复印件；</w:t>
            </w:r>
          </w:p>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4.★社会保障资金：</w:t>
            </w:r>
            <w:r>
              <w:rPr>
                <w:rFonts w:hint="eastAsia" w:ascii="宋体" w:hAnsi="宋体" w:eastAsia="宋体" w:cs="宋体"/>
                <w:color w:val="auto"/>
                <w:sz w:val="21"/>
                <w:szCs w:val="21"/>
                <w:highlight w:val="none"/>
                <w:lang w:val="en-US" w:eastAsia="zh-CN"/>
              </w:rPr>
              <w:t>2023</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月以来不少于</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个月的依法缴纳社会保障资金的相关材料，如依法不需要缴纳社会保障资金的，则应提供相应证明材料复印件；</w:t>
            </w:r>
          </w:p>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5.★具备履行合同所必需的设备和专业技术能力的证明材料；</w:t>
            </w:r>
          </w:p>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6.★参加采购活动前3年内在经营活动中没有重大违法记录的书面声明；</w:t>
            </w:r>
          </w:p>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7.★具备法律、行政法规规定的其他条件的证明材料；</w:t>
            </w:r>
          </w:p>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Cs w:val="21"/>
                <w:highlight w:val="none"/>
              </w:rPr>
              <w:t>供应商认为需要提供的其它说明和资料</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pPr>
              <w:adjustRightInd w:val="0"/>
              <w:snapToGrid w:val="0"/>
              <w:spacing w:after="0" w:line="360" w:lineRule="auto"/>
              <w:jc w:val="center"/>
              <w:rPr>
                <w:rFonts w:hint="eastAsia" w:ascii="宋体" w:hAnsi="宋体" w:eastAsia="宋体" w:cs="宋体"/>
                <w:b/>
                <w:color w:val="auto"/>
                <w:sz w:val="21"/>
                <w:szCs w:val="21"/>
                <w:highlight w:val="none"/>
              </w:rPr>
            </w:pPr>
          </w:p>
        </w:tc>
        <w:tc>
          <w:tcPr>
            <w:tcW w:w="1984" w:type="dxa"/>
            <w:vMerge w:val="continue"/>
            <w:vAlign w:val="center"/>
          </w:tcPr>
          <w:p>
            <w:pPr>
              <w:topLinePunct/>
              <w:autoSpaceDE w:val="0"/>
              <w:autoSpaceDN w:val="0"/>
              <w:adjustRightInd w:val="0"/>
              <w:snapToGrid w:val="0"/>
              <w:spacing w:after="0" w:line="360" w:lineRule="auto"/>
              <w:jc w:val="center"/>
              <w:rPr>
                <w:rFonts w:hint="eastAsia" w:ascii="宋体" w:hAnsi="宋体" w:eastAsia="宋体" w:cs="宋体"/>
                <w:b/>
                <w:color w:val="auto"/>
                <w:sz w:val="21"/>
                <w:szCs w:val="21"/>
                <w:highlight w:val="none"/>
              </w:rPr>
            </w:pPr>
          </w:p>
        </w:tc>
        <w:tc>
          <w:tcPr>
            <w:tcW w:w="851" w:type="dxa"/>
            <w:vMerge w:val="continue"/>
            <w:vAlign w:val="center"/>
          </w:tcPr>
          <w:p>
            <w:pPr>
              <w:topLinePunct/>
              <w:autoSpaceDE w:val="0"/>
              <w:autoSpaceDN w:val="0"/>
              <w:adjustRightInd w:val="0"/>
              <w:snapToGrid w:val="0"/>
              <w:spacing w:after="0" w:line="360" w:lineRule="auto"/>
              <w:rPr>
                <w:rFonts w:hint="eastAsia" w:ascii="宋体" w:hAnsi="宋体" w:eastAsia="宋体" w:cs="宋体"/>
                <w:b/>
                <w:bCs/>
                <w:color w:val="auto"/>
                <w:sz w:val="21"/>
                <w:szCs w:val="21"/>
                <w:highlight w:val="none"/>
              </w:rPr>
            </w:pPr>
          </w:p>
        </w:tc>
        <w:tc>
          <w:tcPr>
            <w:tcW w:w="5207" w:type="dxa"/>
            <w:vAlign w:val="center"/>
          </w:tcPr>
          <w:p>
            <w:pPr>
              <w:adjustRightInd w:val="0"/>
              <w:snapToGrid w:val="0"/>
              <w:spacing w:after="0"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color w:val="auto"/>
                <w:sz w:val="21"/>
                <w:szCs w:val="21"/>
                <w:highlight w:val="none"/>
              </w:rPr>
              <w:t>报价一览表</w:t>
            </w:r>
            <w:r>
              <w:rPr>
                <w:rFonts w:hint="eastAsia" w:ascii="宋体" w:hAnsi="宋体" w:eastAsia="宋体" w:cs="宋体"/>
                <w:b/>
                <w:bCs/>
                <w:color w:val="auto"/>
                <w:sz w:val="21"/>
                <w:szCs w:val="21"/>
                <w:highlight w:val="none"/>
              </w:rPr>
              <w:t>：</w:t>
            </w:r>
          </w:p>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pPr>
              <w:adjustRightInd w:val="0"/>
              <w:snapToGrid w:val="0"/>
              <w:spacing w:after="0" w:line="360" w:lineRule="auto"/>
              <w:jc w:val="center"/>
              <w:rPr>
                <w:rFonts w:hint="eastAsia" w:ascii="宋体" w:hAnsi="宋体" w:eastAsia="宋体" w:cs="宋体"/>
                <w:b/>
                <w:color w:val="auto"/>
                <w:sz w:val="21"/>
                <w:szCs w:val="21"/>
                <w:highlight w:val="none"/>
              </w:rPr>
            </w:pPr>
          </w:p>
        </w:tc>
        <w:tc>
          <w:tcPr>
            <w:tcW w:w="1984" w:type="dxa"/>
            <w:vMerge w:val="continue"/>
            <w:vAlign w:val="center"/>
          </w:tcPr>
          <w:p>
            <w:pPr>
              <w:topLinePunct/>
              <w:autoSpaceDE w:val="0"/>
              <w:autoSpaceDN w:val="0"/>
              <w:adjustRightInd w:val="0"/>
              <w:snapToGrid w:val="0"/>
              <w:spacing w:after="0" w:line="360" w:lineRule="auto"/>
              <w:jc w:val="center"/>
              <w:rPr>
                <w:rFonts w:hint="eastAsia" w:ascii="宋体" w:hAnsi="宋体" w:eastAsia="宋体" w:cs="宋体"/>
                <w:b/>
                <w:color w:val="auto"/>
                <w:sz w:val="21"/>
                <w:szCs w:val="21"/>
                <w:highlight w:val="none"/>
              </w:rPr>
            </w:pPr>
          </w:p>
        </w:tc>
        <w:tc>
          <w:tcPr>
            <w:tcW w:w="851" w:type="dxa"/>
            <w:vMerge w:val="continue"/>
            <w:vAlign w:val="center"/>
          </w:tcPr>
          <w:p>
            <w:pPr>
              <w:topLinePunct/>
              <w:autoSpaceDE w:val="0"/>
              <w:autoSpaceDN w:val="0"/>
              <w:adjustRightInd w:val="0"/>
              <w:snapToGrid w:val="0"/>
              <w:spacing w:after="0" w:line="360" w:lineRule="auto"/>
              <w:rPr>
                <w:rFonts w:hint="eastAsia" w:ascii="宋体" w:hAnsi="宋体" w:eastAsia="宋体" w:cs="宋体"/>
                <w:b/>
                <w:bCs/>
                <w:color w:val="auto"/>
                <w:sz w:val="21"/>
                <w:szCs w:val="21"/>
                <w:highlight w:val="none"/>
              </w:rPr>
            </w:pPr>
          </w:p>
        </w:tc>
        <w:tc>
          <w:tcPr>
            <w:tcW w:w="5207" w:type="dxa"/>
            <w:vAlign w:val="center"/>
          </w:tcPr>
          <w:p>
            <w:pPr>
              <w:widowControl/>
              <w:shd w:val="clear" w:color="auto" w:fill="FFFFFF"/>
              <w:tabs>
                <w:tab w:val="left" w:pos="475"/>
                <w:tab w:val="left" w:pos="617"/>
              </w:tabs>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三、其他文件及资料：</w:t>
            </w:r>
          </w:p>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1.★授权委托书（</w:t>
            </w:r>
            <w:r>
              <w:rPr>
                <w:rFonts w:hint="eastAsia" w:ascii="宋体" w:hAnsi="宋体" w:eastAsia="宋体" w:cs="宋体"/>
                <w:i/>
                <w:color w:val="auto"/>
                <w:sz w:val="21"/>
                <w:szCs w:val="21"/>
                <w:highlight w:val="none"/>
              </w:rPr>
              <w:t>参考响应文件格式1</w:t>
            </w:r>
            <w:r>
              <w:rPr>
                <w:rFonts w:hint="eastAsia" w:ascii="宋体" w:hAnsi="宋体" w:eastAsia="宋体" w:cs="宋体"/>
                <w:color w:val="auto"/>
                <w:sz w:val="21"/>
                <w:szCs w:val="21"/>
                <w:highlight w:val="none"/>
              </w:rPr>
              <w:t>）；</w:t>
            </w:r>
          </w:p>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2.★磋商响应函（</w:t>
            </w:r>
            <w:r>
              <w:rPr>
                <w:rFonts w:hint="eastAsia" w:ascii="宋体" w:hAnsi="宋体" w:eastAsia="宋体" w:cs="宋体"/>
                <w:i/>
                <w:color w:val="auto"/>
                <w:sz w:val="21"/>
                <w:szCs w:val="21"/>
                <w:highlight w:val="none"/>
              </w:rPr>
              <w:t>参考响应文件格式2</w:t>
            </w:r>
            <w:r>
              <w:rPr>
                <w:rFonts w:hint="eastAsia" w:ascii="宋体" w:hAnsi="宋体" w:eastAsia="宋体" w:cs="宋体"/>
                <w:color w:val="auto"/>
                <w:sz w:val="21"/>
                <w:szCs w:val="21"/>
                <w:highlight w:val="none"/>
              </w:rPr>
              <w:t>）；</w:t>
            </w:r>
          </w:p>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商务条款偏离表；</w:t>
            </w:r>
          </w:p>
          <w:p>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4.中小企业声明函（中小企业参加政府采购活动的，应按照《政府采购促进中小企业发展管理办法》（财库﹝2020﹞46 号印发）《关于印发中小企业划型标准规定的通知》 （工信部联企业〔2011〕300号）如实填写并提交此函）；</w:t>
            </w:r>
          </w:p>
          <w:p>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5.监狱企业证明文件[监狱企业参加政府采购活动的，应提交省级以上监狱管理局、戒毒管理局（含新疆生产建设兵团）出具的证明文件]；</w:t>
            </w:r>
          </w:p>
          <w:p>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6.残疾人福利性单位声明函（残疾人福利性单位参加政府采购活动的，应提交此函）；</w:t>
            </w:r>
          </w:p>
          <w:p>
            <w:pPr>
              <w:adjustRightInd w:val="0"/>
              <w:snapToGrid w:val="0"/>
              <w:spacing w:after="0" w:line="36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szCs w:val="21"/>
                <w:highlight w:val="none"/>
              </w:rPr>
              <w:t>7.供应商认为需要提供的其它说明和资料；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pPr>
              <w:adjustRightInd w:val="0"/>
              <w:snapToGrid w:val="0"/>
              <w:spacing w:after="0" w:line="360" w:lineRule="auto"/>
              <w:jc w:val="center"/>
              <w:rPr>
                <w:rFonts w:hint="eastAsia" w:ascii="宋体" w:hAnsi="宋体" w:eastAsia="宋体" w:cs="宋体"/>
                <w:color w:val="auto"/>
                <w:sz w:val="21"/>
                <w:szCs w:val="21"/>
                <w:highlight w:val="none"/>
              </w:rPr>
            </w:pPr>
          </w:p>
        </w:tc>
        <w:tc>
          <w:tcPr>
            <w:tcW w:w="1984" w:type="dxa"/>
            <w:vMerge w:val="continue"/>
            <w:vAlign w:val="center"/>
          </w:tcPr>
          <w:p>
            <w:pPr>
              <w:topLinePunct/>
              <w:autoSpaceDE w:val="0"/>
              <w:autoSpaceDN w:val="0"/>
              <w:adjustRightInd w:val="0"/>
              <w:snapToGrid w:val="0"/>
              <w:spacing w:after="0" w:line="360" w:lineRule="auto"/>
              <w:jc w:val="center"/>
              <w:rPr>
                <w:rFonts w:hint="eastAsia" w:ascii="宋体" w:hAnsi="宋体" w:eastAsia="宋体" w:cs="宋体"/>
                <w:color w:val="auto"/>
                <w:sz w:val="21"/>
                <w:szCs w:val="21"/>
                <w:highlight w:val="none"/>
              </w:rPr>
            </w:pPr>
          </w:p>
        </w:tc>
        <w:tc>
          <w:tcPr>
            <w:tcW w:w="851" w:type="dxa"/>
            <w:vAlign w:val="center"/>
          </w:tcPr>
          <w:p>
            <w:pPr>
              <w:topLinePunct/>
              <w:autoSpaceDE w:val="0"/>
              <w:autoSpaceDN w:val="0"/>
              <w:adjustRightInd w:val="0"/>
              <w:snapToGrid w:val="0"/>
              <w:spacing w:after="0"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技术部分</w:t>
            </w:r>
          </w:p>
        </w:tc>
        <w:tc>
          <w:tcPr>
            <w:tcW w:w="5207" w:type="dxa"/>
            <w:vAlign w:val="center"/>
          </w:tcPr>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技术条款偏离表；</w:t>
            </w:r>
          </w:p>
          <w:p>
            <w:pPr>
              <w:adjustRightInd w:val="0"/>
              <w:snapToGrid w:val="0"/>
              <w:spacing w:after="0" w:line="36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2.国家税务总局南宁市税务局专业媒体综合服务项目服务方案；</w:t>
            </w:r>
          </w:p>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3.供应商认为需要提供的其它说明和资料；</w:t>
            </w:r>
          </w:p>
          <w:p>
            <w:pPr>
              <w:widowControl/>
              <w:tabs>
                <w:tab w:val="left" w:pos="0"/>
                <w:tab w:val="left" w:pos="220"/>
              </w:tabs>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pPr>
              <w:adjustRightInd w:val="0"/>
              <w:snapToGrid w:val="0"/>
              <w:spacing w:after="0" w:line="360" w:lineRule="auto"/>
              <w:jc w:val="center"/>
              <w:rPr>
                <w:rFonts w:hint="eastAsia" w:ascii="宋体" w:hAnsi="宋体" w:eastAsia="宋体" w:cs="宋体"/>
                <w:b/>
                <w:color w:val="auto"/>
                <w:sz w:val="21"/>
                <w:szCs w:val="21"/>
                <w:highlight w:val="none"/>
              </w:rPr>
            </w:pPr>
          </w:p>
        </w:tc>
        <w:tc>
          <w:tcPr>
            <w:tcW w:w="1984" w:type="dxa"/>
            <w:vMerge w:val="continue"/>
            <w:vAlign w:val="center"/>
          </w:tcPr>
          <w:p>
            <w:pPr>
              <w:topLinePunct/>
              <w:autoSpaceDE w:val="0"/>
              <w:autoSpaceDN w:val="0"/>
              <w:adjustRightInd w:val="0"/>
              <w:snapToGrid w:val="0"/>
              <w:spacing w:after="0" w:line="360" w:lineRule="auto"/>
              <w:jc w:val="center"/>
              <w:rPr>
                <w:rFonts w:hint="eastAsia" w:ascii="宋体" w:hAnsi="宋体" w:eastAsia="宋体" w:cs="宋体"/>
                <w:b/>
                <w:color w:val="auto"/>
                <w:sz w:val="21"/>
                <w:szCs w:val="21"/>
                <w:highlight w:val="none"/>
              </w:rPr>
            </w:pPr>
          </w:p>
        </w:tc>
        <w:tc>
          <w:tcPr>
            <w:tcW w:w="6058" w:type="dxa"/>
            <w:gridSpan w:val="2"/>
            <w:vAlign w:val="center"/>
          </w:tcPr>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1.以上带★的文件及资料未提供或提供的无效，则响应无效。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984" w:type="dxa"/>
            <w:vAlign w:val="center"/>
          </w:tcPr>
          <w:p>
            <w:pPr>
              <w:topLinePunct/>
              <w:autoSpaceDE w:val="0"/>
              <w:autoSpaceDN w:val="0"/>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磋商响应有效期</w:t>
            </w:r>
          </w:p>
        </w:tc>
        <w:tc>
          <w:tcPr>
            <w:tcW w:w="6058" w:type="dxa"/>
            <w:gridSpan w:val="2"/>
            <w:vAlign w:val="center"/>
          </w:tcPr>
          <w:p>
            <w:pPr>
              <w:topLinePunct/>
              <w:autoSpaceDE w:val="0"/>
              <w:autoSpaceDN w:val="0"/>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从提交响应文件的截止之日起计算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90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984" w:type="dxa"/>
            <w:vAlign w:val="center"/>
          </w:tcPr>
          <w:p>
            <w:pPr>
              <w:topLinePunct/>
              <w:autoSpaceDE w:val="0"/>
              <w:autoSpaceDN w:val="0"/>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提交响应文件方式、截止时间、地点</w:t>
            </w:r>
          </w:p>
        </w:tc>
        <w:tc>
          <w:tcPr>
            <w:tcW w:w="6058" w:type="dxa"/>
            <w:gridSpan w:val="2"/>
            <w:vAlign w:val="center"/>
          </w:tcPr>
          <w:p>
            <w:pPr>
              <w:topLinePunct/>
              <w:autoSpaceDE w:val="0"/>
              <w:autoSpaceDN w:val="0"/>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提交方式：</w:t>
            </w:r>
            <w:r>
              <w:rPr>
                <w:rFonts w:hint="eastAsia" w:ascii="宋体" w:hAnsi="宋体" w:eastAsia="宋体" w:cs="宋体"/>
                <w:color w:val="auto"/>
                <w:sz w:val="21"/>
                <w:szCs w:val="21"/>
                <w:highlight w:val="none"/>
                <w:u w:val="single"/>
              </w:rPr>
              <w:t>纸质文件提交</w:t>
            </w:r>
          </w:p>
          <w:p>
            <w:pPr>
              <w:topLinePunct/>
              <w:autoSpaceDE w:val="0"/>
              <w:autoSpaceDN w:val="0"/>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提交响应文件截止时间：</w:t>
            </w:r>
            <w:r>
              <w:rPr>
                <w:rFonts w:hint="eastAsia" w:ascii="宋体" w:hAnsi="宋体" w:eastAsia="宋体" w:cs="宋体"/>
                <w:color w:val="auto"/>
                <w:sz w:val="21"/>
                <w:szCs w:val="21"/>
                <w:highlight w:val="none"/>
                <w:u w:val="single"/>
                <w:lang w:val="en-US" w:eastAsia="zh-CN"/>
              </w:rPr>
              <w:t>2024</w:t>
            </w:r>
            <w:r>
              <w:rPr>
                <w:rFonts w:hint="eastAsia" w:ascii="宋体" w:hAnsi="宋体" w:eastAsia="宋体" w:cs="宋体"/>
                <w:bCs/>
                <w:color w:val="auto"/>
                <w:sz w:val="21"/>
                <w:szCs w:val="21"/>
                <w:highlight w:val="non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bCs/>
                <w:color w:val="auto"/>
                <w:sz w:val="21"/>
                <w:szCs w:val="21"/>
                <w:highlight w:val="none"/>
              </w:rPr>
              <w:t>月</w:t>
            </w:r>
            <w:r>
              <w:rPr>
                <w:rFonts w:hint="eastAsia" w:ascii="宋体" w:hAnsi="宋体" w:cs="宋体"/>
                <w:color w:val="auto"/>
                <w:sz w:val="21"/>
                <w:szCs w:val="21"/>
                <w:highlight w:val="none"/>
                <w:u w:val="single"/>
                <w:lang w:val="en-US" w:eastAsia="zh-CN"/>
              </w:rPr>
              <w:t>15</w:t>
            </w:r>
            <w:r>
              <w:rPr>
                <w:rFonts w:hint="eastAsia" w:ascii="宋体" w:hAnsi="宋体" w:eastAsia="宋体" w:cs="宋体"/>
                <w:bCs/>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09:30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（北京时间）</w:t>
            </w:r>
          </w:p>
          <w:p>
            <w:pPr>
              <w:topLinePunct/>
              <w:autoSpaceDE w:val="0"/>
              <w:autoSpaceDN w:val="0"/>
              <w:adjustRightInd w:val="0"/>
              <w:snapToGrid w:val="0"/>
              <w:spacing w:after="0" w:line="360" w:lineRule="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地点：</w:t>
            </w:r>
            <w:r>
              <w:rPr>
                <w:rFonts w:hint="eastAsia" w:ascii="宋体" w:hAnsi="宋体" w:eastAsia="宋体" w:cs="宋体"/>
                <w:color w:val="auto"/>
                <w:sz w:val="21"/>
                <w:highlight w:val="none"/>
                <w:u w:val="single"/>
                <w:lang w:val="en-US" w:eastAsia="zh-CN"/>
              </w:rPr>
              <w:t>南宁市青秀区枫林路18号广西国资交易中心开标室</w:t>
            </w:r>
            <w:r>
              <w:rPr>
                <w:rFonts w:hint="eastAsia" w:ascii="宋体" w:hAnsi="宋体" w:eastAsia="宋体" w:cs="宋体"/>
                <w:b/>
                <w:color w:val="auto"/>
                <w:sz w:val="21"/>
                <w:szCs w:val="21"/>
                <w:highlight w:val="none"/>
                <w:u w:val="single"/>
              </w:rPr>
              <w:t xml:space="preserve"> </w:t>
            </w:r>
          </w:p>
          <w:p>
            <w:pPr>
              <w:topLinePunct/>
              <w:autoSpaceDE w:val="0"/>
              <w:autoSpaceDN w:val="0"/>
              <w:adjustRightInd w:val="0"/>
              <w:snapToGrid w:val="0"/>
              <w:spacing w:after="0" w:line="360" w:lineRule="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联系电话：</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0771-2807659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984" w:type="dxa"/>
            <w:vAlign w:val="center"/>
          </w:tcPr>
          <w:p>
            <w:pPr>
              <w:topLinePunct/>
              <w:autoSpaceDE w:val="0"/>
              <w:autoSpaceDN w:val="0"/>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响应文件开启时间和地点</w:t>
            </w:r>
          </w:p>
        </w:tc>
        <w:tc>
          <w:tcPr>
            <w:tcW w:w="6058" w:type="dxa"/>
            <w:gridSpan w:val="2"/>
            <w:vAlign w:val="center"/>
          </w:tcPr>
          <w:p>
            <w:pPr>
              <w:topLinePunct/>
              <w:autoSpaceDE w:val="0"/>
              <w:autoSpaceDN w:val="0"/>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2024</w:t>
            </w:r>
            <w:r>
              <w:rPr>
                <w:rFonts w:hint="eastAsia" w:ascii="宋体" w:hAnsi="宋体" w:eastAsia="宋体" w:cs="宋体"/>
                <w:bCs/>
                <w:color w:val="auto"/>
                <w:sz w:val="21"/>
                <w:szCs w:val="21"/>
                <w:highlight w:val="non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bCs/>
                <w:color w:val="auto"/>
                <w:sz w:val="21"/>
                <w:szCs w:val="21"/>
                <w:highlight w:val="none"/>
              </w:rPr>
              <w:t>月</w:t>
            </w:r>
            <w:r>
              <w:rPr>
                <w:rFonts w:hint="eastAsia" w:ascii="宋体" w:hAnsi="宋体" w:cs="宋体"/>
                <w:color w:val="auto"/>
                <w:sz w:val="21"/>
                <w:szCs w:val="21"/>
                <w:highlight w:val="none"/>
                <w:u w:val="single"/>
                <w:lang w:val="en-US" w:eastAsia="zh-CN"/>
              </w:rPr>
              <w:t>15</w:t>
            </w:r>
            <w:r>
              <w:rPr>
                <w:rFonts w:hint="eastAsia" w:ascii="宋体" w:hAnsi="宋体" w:eastAsia="宋体" w:cs="宋体"/>
                <w:bCs/>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09:30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（北京时间）</w:t>
            </w:r>
          </w:p>
          <w:p>
            <w:pPr>
              <w:topLinePunct/>
              <w:autoSpaceDE w:val="0"/>
              <w:autoSpaceDN w:val="0"/>
              <w:adjustRightInd w:val="0"/>
              <w:snapToGrid w:val="0"/>
              <w:spacing w:after="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地点：</w:t>
            </w:r>
            <w:r>
              <w:rPr>
                <w:rFonts w:hint="eastAsia" w:ascii="宋体" w:hAnsi="宋体" w:eastAsia="宋体" w:cs="宋体"/>
                <w:color w:val="auto"/>
                <w:sz w:val="21"/>
                <w:highlight w:val="none"/>
                <w:u w:val="single"/>
                <w:lang w:val="en-US" w:eastAsia="zh-CN"/>
              </w:rPr>
              <w:t>南宁市青秀区枫林路18号广西国资交易中心开标室</w:t>
            </w:r>
            <w:r>
              <w:rPr>
                <w:rFonts w:hint="eastAsia" w:ascii="宋体" w:hAnsi="宋体" w:eastAsia="宋体" w:cs="宋体"/>
                <w:b/>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984" w:type="dxa"/>
            <w:vAlign w:val="center"/>
          </w:tcPr>
          <w:p>
            <w:pPr>
              <w:tabs>
                <w:tab w:val="left" w:pos="1875"/>
              </w:tabs>
              <w:adjustRightInd w:val="0"/>
              <w:snapToGrid w:val="0"/>
              <w:spacing w:after="0" w:line="360" w:lineRule="auto"/>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磋商保证金</w:t>
            </w:r>
          </w:p>
        </w:tc>
        <w:tc>
          <w:tcPr>
            <w:tcW w:w="6058" w:type="dxa"/>
            <w:gridSpan w:val="2"/>
            <w:vAlign w:val="center"/>
          </w:tcPr>
          <w:p>
            <w:pPr>
              <w:topLinePunct/>
              <w:autoSpaceDE w:val="0"/>
              <w:autoSpaceDN w:val="0"/>
              <w:adjustRightInd w:val="0"/>
              <w:snapToGrid w:val="0"/>
              <w:spacing w:after="0" w:line="360" w:lineRule="auto"/>
              <w:rPr>
                <w:rFonts w:hint="eastAsia" w:ascii="宋体" w:hAnsi="宋体" w:eastAsia="宋体" w:cs="宋体"/>
                <w:snapToGrid w:val="0"/>
                <w:color w:val="auto"/>
                <w:sz w:val="21"/>
                <w:szCs w:val="21"/>
                <w:highlight w:val="none"/>
                <w:lang w:val="zh-CN"/>
              </w:rPr>
            </w:pP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不要求提供</w:t>
            </w:r>
          </w:p>
          <w:p>
            <w:pPr>
              <w:topLinePunct/>
              <w:autoSpaceDE w:val="0"/>
              <w:autoSpaceDN w:val="0"/>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要求提供：</w:t>
            </w:r>
          </w:p>
          <w:p>
            <w:pPr>
              <w:topLinePunct/>
              <w:autoSpaceDE w:val="0"/>
              <w:autoSpaceDN w:val="0"/>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（1）金额：</w:t>
            </w:r>
          </w:p>
          <w:p>
            <w:pPr>
              <w:topLinePunct/>
              <w:autoSpaceDE w:val="0"/>
              <w:autoSpaceDN w:val="0"/>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采购包1：人民币</w:t>
            </w:r>
            <w:r>
              <w:rPr>
                <w:rFonts w:hint="eastAsia" w:ascii="宋体" w:hAnsi="宋体" w:cs="宋体"/>
                <w:color w:val="auto"/>
                <w:sz w:val="21"/>
                <w:szCs w:val="21"/>
                <w:highlight w:val="none"/>
                <w:u w:val="none"/>
                <w:lang w:val="en-US" w:eastAsia="zh-CN"/>
              </w:rPr>
              <w:t>伍</w:t>
            </w:r>
            <w:r>
              <w:rPr>
                <w:rFonts w:hint="eastAsia" w:ascii="宋体" w:hAnsi="宋体" w:cs="宋体"/>
                <w:color w:val="auto"/>
                <w:sz w:val="21"/>
                <w:szCs w:val="21"/>
                <w:highlight w:val="none"/>
                <w:u w:val="none"/>
                <w:lang w:eastAsia="zh-CN"/>
              </w:rPr>
              <w:t>仟</w:t>
            </w:r>
            <w:r>
              <w:rPr>
                <w:rFonts w:hint="eastAsia" w:ascii="宋体" w:hAnsi="宋体" w:eastAsia="宋体" w:cs="宋体"/>
                <w:color w:val="auto"/>
                <w:sz w:val="21"/>
                <w:szCs w:val="21"/>
                <w:highlight w:val="none"/>
                <w:u w:val="none"/>
              </w:rPr>
              <w:t>元</w:t>
            </w:r>
            <w:r>
              <w:rPr>
                <w:rFonts w:hint="eastAsia" w:ascii="宋体" w:hAnsi="宋体" w:cs="宋体"/>
                <w:color w:val="auto"/>
                <w:sz w:val="21"/>
                <w:szCs w:val="21"/>
                <w:highlight w:val="none"/>
                <w:lang w:eastAsia="zh-CN"/>
              </w:rPr>
              <w:t>整</w:t>
            </w:r>
            <w:r>
              <w:rPr>
                <w:rFonts w:hint="eastAsia" w:ascii="宋体" w:hAnsi="宋体" w:eastAsia="宋体" w:cs="宋体"/>
                <w:color w:val="auto"/>
                <w:sz w:val="21"/>
                <w:szCs w:val="21"/>
                <w:highlight w:val="none"/>
              </w:rPr>
              <w:t>。</w:t>
            </w:r>
          </w:p>
          <w:p>
            <w:pPr>
              <w:topLinePunct/>
              <w:autoSpaceDE w:val="0"/>
              <w:autoSpaceDN w:val="0"/>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（2）提交方式：</w:t>
            </w:r>
            <w:r>
              <w:rPr>
                <w:rFonts w:hint="eastAsia" w:ascii="宋体" w:hAnsi="宋体" w:eastAsia="宋体" w:cs="宋体"/>
                <w:color w:val="auto"/>
                <w:szCs w:val="21"/>
                <w:highlight w:val="none"/>
                <w:u w:val="single"/>
              </w:rPr>
              <w:t>银行转账、支票、汇票、本票或者金融</w:t>
            </w:r>
            <w:r>
              <w:rPr>
                <w:rFonts w:hint="eastAsia" w:ascii="宋体" w:hAnsi="宋体" w:cs="宋体"/>
                <w:color w:val="auto"/>
                <w:szCs w:val="21"/>
                <w:highlight w:val="none"/>
                <w:u w:val="single"/>
                <w:lang w:eastAsia="zh-CN"/>
              </w:rPr>
              <w:t>机构</w:t>
            </w:r>
            <w:r>
              <w:rPr>
                <w:rFonts w:hint="eastAsia" w:ascii="宋体" w:hAnsi="宋体" w:eastAsia="宋体" w:cs="宋体"/>
                <w:color w:val="auto"/>
                <w:szCs w:val="21"/>
                <w:highlight w:val="none"/>
                <w:u w:val="single"/>
              </w:rPr>
              <w:t>、担保机构出具的保函，禁止采用现钞方式</w:t>
            </w:r>
          </w:p>
          <w:p>
            <w:pPr>
              <w:topLinePunct/>
              <w:autoSpaceDE w:val="0"/>
              <w:autoSpaceDN w:val="0"/>
              <w:adjustRightInd w:val="0"/>
              <w:snapToGrid w:val="0"/>
              <w:spacing w:after="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收款账户：</w:t>
            </w:r>
            <w:r>
              <w:rPr>
                <w:rFonts w:hint="eastAsia" w:ascii="宋体" w:hAnsi="宋体" w:eastAsia="宋体" w:cs="宋体"/>
                <w:color w:val="auto"/>
                <w:sz w:val="21"/>
                <w:highlight w:val="none"/>
              </w:rPr>
              <w:t>广西建设工程机电设备招标中心有限公司</w:t>
            </w:r>
          </w:p>
          <w:p>
            <w:pPr>
              <w:topLinePunct/>
              <w:autoSpaceDE w:val="0"/>
              <w:autoSpaceDN w:val="0"/>
              <w:adjustRightInd w:val="0"/>
              <w:snapToGrid w:val="0"/>
              <w:spacing w:after="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highlight w:val="none"/>
              </w:rPr>
              <w:t>招商银行南宁分行营业部</w:t>
            </w:r>
          </w:p>
          <w:p>
            <w:pPr>
              <w:topLinePunct/>
              <w:autoSpaceDE w:val="0"/>
              <w:autoSpaceDN w:val="0"/>
              <w:adjustRightInd w:val="0"/>
              <w:snapToGrid w:val="0"/>
              <w:spacing w:after="0"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银行账户： 7719 0142 3310 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984" w:type="dxa"/>
            <w:vAlign w:val="center"/>
          </w:tcPr>
          <w:p>
            <w:pPr>
              <w:tabs>
                <w:tab w:val="left" w:pos="1875"/>
              </w:tabs>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不予退还磋商保证金的情形</w:t>
            </w:r>
          </w:p>
        </w:tc>
        <w:tc>
          <w:tcPr>
            <w:tcW w:w="6058" w:type="dxa"/>
            <w:gridSpan w:val="2"/>
            <w:vAlign w:val="center"/>
          </w:tcPr>
          <w:p>
            <w:pPr>
              <w:topLinePunct/>
              <w:autoSpaceDE w:val="0"/>
              <w:autoSpaceDN w:val="0"/>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有下列情形之一的，磋商保证金将不予退还：</w:t>
            </w:r>
          </w:p>
          <w:p>
            <w:pPr>
              <w:topLinePunct/>
              <w:autoSpaceDE w:val="0"/>
              <w:autoSpaceDN w:val="0"/>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（1）供应商在提交响应文件截止时间后撤回响应文件的；</w:t>
            </w:r>
          </w:p>
          <w:p>
            <w:pPr>
              <w:topLinePunct/>
              <w:autoSpaceDE w:val="0"/>
              <w:autoSpaceDN w:val="0"/>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（2）供应商在响应文件中提供虚假材料的；</w:t>
            </w:r>
          </w:p>
          <w:p>
            <w:pPr>
              <w:topLinePunct/>
              <w:autoSpaceDE w:val="0"/>
              <w:autoSpaceDN w:val="0"/>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（3）除因不可抗力或磋商文件认可的情形以外，成交供应商不与采购人签订合同的；</w:t>
            </w:r>
          </w:p>
          <w:p>
            <w:pPr>
              <w:topLinePunct/>
              <w:autoSpaceDE w:val="0"/>
              <w:autoSpaceDN w:val="0"/>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（4）供应商与采购人、其他供应商或者采购代理机构恶意串通的； </w:t>
            </w:r>
          </w:p>
          <w:p>
            <w:pPr>
              <w:topLinePunct/>
              <w:autoSpaceDE w:val="0"/>
              <w:autoSpaceDN w:val="0"/>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（5）其他不予退还磋商保证金的情形：</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984" w:type="dxa"/>
            <w:vAlign w:val="center"/>
          </w:tcPr>
          <w:p>
            <w:pPr>
              <w:adjustRightInd w:val="0"/>
              <w:snapToGrid w:val="0"/>
              <w:spacing w:after="0" w:line="360" w:lineRule="auto"/>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信用记录审查</w:t>
            </w:r>
          </w:p>
        </w:tc>
        <w:tc>
          <w:tcPr>
            <w:tcW w:w="6058" w:type="dxa"/>
            <w:gridSpan w:val="2"/>
            <w:vAlign w:val="center"/>
          </w:tcPr>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根据《财政部关于在政府采购活动中查询及使用信用记录有关问题的通知》（财库〔2016〕125号）规定，磋商小组将通过“信用中国”网站（www.creditchina.gov.cn）、中国政府采购网（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"http://www.ccgp.gov.cn"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www.ccgp.gov.cn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对供应商截止到提交响应文件截止时间的信用记录进行审查，对列入失信被执行人、重大税收违法案件当事人名单、政府采购严重违法失信行为记录名单及其他不符合《中华人民共和国政府采购法》第二十二条规定条件的供应商，其磋商响应将被拒绝。</w:t>
            </w:r>
          </w:p>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本次查询的信用记录仅限于本项目使用，查询结果将留存在采购档案中。</w:t>
            </w:r>
          </w:p>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在上述指定网站不能查询信用信息的供应商，应提供相关证明材料（原件加盖公章）。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984" w:type="dxa"/>
            <w:vAlign w:val="center"/>
          </w:tcPr>
          <w:p>
            <w:pPr>
              <w:topLinePunct/>
              <w:autoSpaceDE w:val="0"/>
              <w:autoSpaceDN w:val="0"/>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支持中小型</w:t>
            </w:r>
          </w:p>
          <w:p>
            <w:pPr>
              <w:topLinePunct/>
              <w:autoSpaceDE w:val="0"/>
              <w:autoSpaceDN w:val="0"/>
              <w:adjustRightInd w:val="0"/>
              <w:snapToGrid w:val="0"/>
              <w:spacing w:after="0" w:line="360" w:lineRule="auto"/>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企业发展</w:t>
            </w:r>
          </w:p>
        </w:tc>
        <w:tc>
          <w:tcPr>
            <w:tcW w:w="6058" w:type="dxa"/>
            <w:gridSpan w:val="2"/>
            <w:vAlign w:val="center"/>
          </w:tcPr>
          <w:p>
            <w:pPr>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根据《政府采购促进中小型企业发展管理办法》（财库〔2020〕46号），鼓励中小企业参加本项目采购活动。</w:t>
            </w:r>
          </w:p>
          <w:p>
            <w:pPr>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在货物采购项目中，</w:t>
            </w:r>
            <w:r>
              <w:rPr>
                <w:rFonts w:hint="eastAsia" w:ascii="宋体" w:hAnsi="宋体" w:eastAsia="宋体" w:cs="宋体"/>
                <w:color w:val="auto"/>
                <w:sz w:val="21"/>
                <w:szCs w:val="21"/>
                <w:highlight w:val="none"/>
              </w:rPr>
              <w:t>满足所有标的均由中小企业制造，即所有标的均由中小企业生产且使用该中小企业商号或者注册商标的，可享受中小企业扶持政策。</w:t>
            </w:r>
          </w:p>
          <w:p>
            <w:pPr>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在服务采购项目中，</w:t>
            </w:r>
            <w:r>
              <w:rPr>
                <w:rFonts w:hint="eastAsia" w:ascii="宋体" w:hAnsi="宋体" w:eastAsia="宋体" w:cs="宋体"/>
                <w:color w:val="auto"/>
                <w:sz w:val="21"/>
                <w:szCs w:val="21"/>
                <w:highlight w:val="none"/>
              </w:rPr>
              <w:t>满足服务由中小企业承接，即提供服务的人员为中小企业依照《中华人民共和国劳动合同法》订立劳动合同的从业人员的，可享受中小企业扶持政策。</w:t>
            </w:r>
          </w:p>
          <w:p>
            <w:pPr>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在工程采购项目中，</w:t>
            </w:r>
            <w:r>
              <w:rPr>
                <w:rFonts w:hint="eastAsia" w:ascii="宋体" w:hAnsi="宋体" w:eastAsia="宋体" w:cs="宋体"/>
                <w:color w:val="auto"/>
                <w:sz w:val="21"/>
                <w:szCs w:val="21"/>
                <w:highlight w:val="none"/>
              </w:rPr>
              <w:t>满足工程由中小企业承建，即工程施工单位为中小企业，可享受中小企业扶持政策。</w:t>
            </w:r>
          </w:p>
          <w:p>
            <w:pPr>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p>
          <w:p>
            <w:pPr>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专门面向中小企业采购项目。</w:t>
            </w:r>
          </w:p>
          <w:p>
            <w:pPr>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□预留份额面向中小企业采购项目（说明：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非专门面向中小企业采购项目。对小型和微型企业的报价给予</w:t>
            </w:r>
            <w:r>
              <w:rPr>
                <w:rFonts w:hint="eastAsia" w:ascii="宋体" w:hAnsi="宋体" w:eastAsia="宋体" w:cs="宋体"/>
                <w:color w:val="auto"/>
                <w:sz w:val="21"/>
                <w:szCs w:val="21"/>
                <w:highlight w:val="none"/>
                <w:u w:val="single"/>
                <w:lang w:val="en-US" w:eastAsia="zh-CN"/>
              </w:rPr>
              <w:t>15</w:t>
            </w:r>
            <w:r>
              <w:rPr>
                <w:rFonts w:hint="eastAsia" w:ascii="宋体" w:hAnsi="宋体" w:eastAsia="宋体" w:cs="宋体"/>
                <w:color w:val="auto"/>
                <w:sz w:val="21"/>
                <w:szCs w:val="21"/>
                <w:highlight w:val="none"/>
              </w:rPr>
              <w:t>%的扣除，用扣除后的价格参与评审。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984" w:type="dxa"/>
            <w:vAlign w:val="center"/>
          </w:tcPr>
          <w:p>
            <w:pPr>
              <w:topLinePunct/>
              <w:autoSpaceDE w:val="0"/>
              <w:autoSpaceDN w:val="0"/>
              <w:adjustRightInd w:val="0"/>
              <w:snapToGrid w:val="0"/>
              <w:spacing w:after="0" w:line="360" w:lineRule="auto"/>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支持监狱企业发展</w:t>
            </w:r>
          </w:p>
        </w:tc>
        <w:tc>
          <w:tcPr>
            <w:tcW w:w="6058" w:type="dxa"/>
            <w:gridSpan w:val="2"/>
            <w:vAlign w:val="center"/>
          </w:tcPr>
          <w:p>
            <w:pPr>
              <w:adjustRightInd w:val="0"/>
              <w:snapToGrid w:val="0"/>
              <w:spacing w:after="0" w:line="360" w:lineRule="auto"/>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根据《关于政府采购支持监狱企业发展有关问题的通知》（财库〔2014〕68号），监狱企业视同小型、微型企业，按照</w:t>
            </w:r>
            <w:r>
              <w:rPr>
                <w:rFonts w:hint="eastAsia" w:ascii="宋体" w:hAnsi="宋体" w:eastAsia="宋体" w:cs="宋体"/>
                <w:b/>
                <w:bCs/>
                <w:color w:val="auto"/>
                <w:sz w:val="21"/>
                <w:szCs w:val="21"/>
                <w:highlight w:val="none"/>
              </w:rPr>
              <w:t>供应商须知前附表第25项</w:t>
            </w:r>
            <w:r>
              <w:rPr>
                <w:rFonts w:hint="eastAsia" w:ascii="宋体" w:hAnsi="宋体" w:eastAsia="宋体" w:cs="宋体"/>
                <w:color w:val="auto"/>
                <w:sz w:val="21"/>
                <w:szCs w:val="21"/>
                <w:highlight w:val="none"/>
              </w:rPr>
              <w:t>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984" w:type="dxa"/>
            <w:vAlign w:val="center"/>
          </w:tcPr>
          <w:p>
            <w:pPr>
              <w:topLinePunct/>
              <w:autoSpaceDE w:val="0"/>
              <w:autoSpaceDN w:val="0"/>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促进残疾人</w:t>
            </w:r>
          </w:p>
          <w:p>
            <w:pPr>
              <w:topLinePunct/>
              <w:autoSpaceDE w:val="0"/>
              <w:autoSpaceDN w:val="0"/>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就业</w:t>
            </w:r>
          </w:p>
        </w:tc>
        <w:tc>
          <w:tcPr>
            <w:tcW w:w="6058" w:type="dxa"/>
            <w:gridSpan w:val="2"/>
            <w:vAlign w:val="center"/>
          </w:tcPr>
          <w:p>
            <w:pPr>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根据《关于促进残疾人就业政府采购政策的通知》（财库〔2017〕141号），残疾人福利性单位视同小型、微型企业，按照</w:t>
            </w:r>
            <w:r>
              <w:rPr>
                <w:rFonts w:hint="eastAsia" w:ascii="宋体" w:hAnsi="宋体" w:eastAsia="宋体" w:cs="宋体"/>
                <w:b/>
                <w:bCs/>
                <w:color w:val="auto"/>
                <w:sz w:val="21"/>
                <w:szCs w:val="21"/>
                <w:highlight w:val="none"/>
              </w:rPr>
              <w:t>供应商须知前附表第25项</w:t>
            </w:r>
            <w:r>
              <w:rPr>
                <w:rFonts w:hint="eastAsia" w:ascii="宋体" w:hAnsi="宋体" w:eastAsia="宋体" w:cs="宋体"/>
                <w:color w:val="auto"/>
                <w:sz w:val="21"/>
                <w:szCs w:val="21"/>
                <w:highlight w:val="none"/>
              </w:rPr>
              <w:t>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vAlign w:val="center"/>
          </w:tcPr>
          <w:p>
            <w:pPr>
              <w:topLinePunct/>
              <w:autoSpaceDE w:val="0"/>
              <w:autoSpaceDN w:val="0"/>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984" w:type="dxa"/>
            <w:vMerge w:val="restart"/>
            <w:vAlign w:val="center"/>
          </w:tcPr>
          <w:p>
            <w:pPr>
              <w:topLinePunct/>
              <w:autoSpaceDE w:val="0"/>
              <w:autoSpaceDN w:val="0"/>
              <w:adjustRightInd w:val="0"/>
              <w:snapToGrid w:val="0"/>
              <w:spacing w:after="0" w:line="360" w:lineRule="auto"/>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其他法律法规强制性规定或扶持政策</w:t>
            </w:r>
          </w:p>
        </w:tc>
        <w:tc>
          <w:tcPr>
            <w:tcW w:w="6058" w:type="dxa"/>
            <w:gridSpan w:val="2"/>
            <w:vAlign w:val="center"/>
          </w:tcPr>
          <w:p>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本项目中强制采购节能产品的货物名称：</w:t>
            </w:r>
          </w:p>
          <w:p>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topLinePunct/>
              <w:autoSpaceDE w:val="0"/>
              <w:autoSpaceDN w:val="0"/>
              <w:adjustRightInd w:val="0"/>
              <w:snapToGrid w:val="0"/>
              <w:spacing w:after="0"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注：供应商所投上述产品必须具有节能产品认证证书，并提供依据国家确定的认证机构出具的、处于有效期之内的节能产品认证证书复印件，否则响应无效。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pPr>
              <w:topLinePunct/>
              <w:autoSpaceDE w:val="0"/>
              <w:autoSpaceDN w:val="0"/>
              <w:adjustRightInd w:val="0"/>
              <w:snapToGrid w:val="0"/>
              <w:spacing w:before="62" w:after="62" w:line="360" w:lineRule="auto"/>
              <w:jc w:val="center"/>
              <w:rPr>
                <w:rFonts w:hint="eastAsia" w:ascii="宋体" w:hAnsi="宋体" w:eastAsia="宋体" w:cs="宋体"/>
                <w:color w:val="auto"/>
                <w:sz w:val="21"/>
                <w:szCs w:val="21"/>
                <w:highlight w:val="none"/>
              </w:rPr>
            </w:pPr>
          </w:p>
        </w:tc>
        <w:tc>
          <w:tcPr>
            <w:tcW w:w="1984" w:type="dxa"/>
            <w:vMerge w:val="continue"/>
            <w:vAlign w:val="center"/>
          </w:tcPr>
          <w:p>
            <w:pPr>
              <w:topLinePunct/>
              <w:autoSpaceDE w:val="0"/>
              <w:autoSpaceDN w:val="0"/>
              <w:adjustRightInd w:val="0"/>
              <w:snapToGrid w:val="0"/>
              <w:spacing w:after="0" w:line="360" w:lineRule="auto"/>
              <w:jc w:val="center"/>
              <w:rPr>
                <w:rFonts w:hint="eastAsia" w:ascii="宋体" w:hAnsi="宋体" w:eastAsia="宋体" w:cs="宋体"/>
                <w:color w:val="auto"/>
                <w:sz w:val="21"/>
                <w:szCs w:val="21"/>
                <w:highlight w:val="none"/>
              </w:rPr>
            </w:pPr>
          </w:p>
        </w:tc>
        <w:tc>
          <w:tcPr>
            <w:tcW w:w="6058" w:type="dxa"/>
            <w:gridSpan w:val="2"/>
            <w:vAlign w:val="center"/>
          </w:tcPr>
          <w:p>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本项目中采购信息安全产品的货物名称：</w:t>
            </w:r>
          </w:p>
          <w:p>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topLinePunct/>
              <w:autoSpaceDE w:val="0"/>
              <w:autoSpaceDN w:val="0"/>
              <w:adjustRightInd w:val="0"/>
              <w:snapToGrid w:val="0"/>
              <w:spacing w:after="0"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注：供应商所投上述产品需为国家认证的信息安全产品，并提供由中国网络安全审查技术与认证中心（原中国信息安全认证中心）按国家标准认证颁发的有效认证证书复印件，否则响应无效。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pPr>
              <w:topLinePunct/>
              <w:autoSpaceDE w:val="0"/>
              <w:autoSpaceDN w:val="0"/>
              <w:adjustRightInd w:val="0"/>
              <w:snapToGrid w:val="0"/>
              <w:spacing w:after="0" w:line="360" w:lineRule="auto"/>
              <w:jc w:val="center"/>
              <w:rPr>
                <w:rFonts w:hint="eastAsia" w:ascii="宋体" w:hAnsi="宋体" w:eastAsia="宋体" w:cs="宋体"/>
                <w:color w:val="auto"/>
                <w:sz w:val="21"/>
                <w:szCs w:val="21"/>
                <w:highlight w:val="none"/>
              </w:rPr>
            </w:pPr>
          </w:p>
        </w:tc>
        <w:tc>
          <w:tcPr>
            <w:tcW w:w="1984" w:type="dxa"/>
            <w:vMerge w:val="continue"/>
            <w:vAlign w:val="center"/>
          </w:tcPr>
          <w:p>
            <w:pPr>
              <w:topLinePunct/>
              <w:autoSpaceDE w:val="0"/>
              <w:autoSpaceDN w:val="0"/>
              <w:adjustRightInd w:val="0"/>
              <w:snapToGrid w:val="0"/>
              <w:spacing w:after="0" w:line="360" w:lineRule="auto"/>
              <w:jc w:val="center"/>
              <w:rPr>
                <w:rFonts w:hint="eastAsia" w:ascii="宋体" w:hAnsi="宋体" w:eastAsia="宋体" w:cs="宋体"/>
                <w:color w:val="auto"/>
                <w:sz w:val="21"/>
                <w:szCs w:val="21"/>
                <w:highlight w:val="none"/>
              </w:rPr>
            </w:pPr>
          </w:p>
        </w:tc>
        <w:tc>
          <w:tcPr>
            <w:tcW w:w="6058" w:type="dxa"/>
            <w:gridSpan w:val="2"/>
            <w:vAlign w:val="center"/>
          </w:tcPr>
          <w:p>
            <w:pPr>
              <w:topLinePunct/>
              <w:autoSpaceDE w:val="0"/>
              <w:autoSpaceDN w:val="0"/>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其他法律法规强制性规定或扶持政策：</w:t>
            </w:r>
          </w:p>
          <w:p>
            <w:pPr>
              <w:topLinePunct/>
              <w:autoSpaceDE w:val="0"/>
              <w:autoSpaceDN w:val="0"/>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984" w:type="dxa"/>
            <w:vAlign w:val="center"/>
          </w:tcPr>
          <w:p>
            <w:pPr>
              <w:tabs>
                <w:tab w:val="left" w:pos="1875"/>
              </w:tabs>
              <w:adjustRightInd w:val="0"/>
              <w:snapToGrid w:val="0"/>
              <w:spacing w:after="0" w:line="360" w:lineRule="auto"/>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评审方法及分值</w:t>
            </w:r>
          </w:p>
        </w:tc>
        <w:tc>
          <w:tcPr>
            <w:tcW w:w="6058" w:type="dxa"/>
            <w:gridSpan w:val="2"/>
            <w:vAlign w:val="center"/>
          </w:tcPr>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详见采购文件商务部分第三章。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984" w:type="dxa"/>
            <w:vAlign w:val="center"/>
          </w:tcPr>
          <w:p>
            <w:pPr>
              <w:topLinePunct/>
              <w:autoSpaceDE w:val="0"/>
              <w:autoSpaceDN w:val="0"/>
              <w:adjustRightInd w:val="0"/>
              <w:snapToGrid w:val="0"/>
              <w:spacing w:after="0" w:line="360" w:lineRule="auto"/>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履约保证金</w:t>
            </w:r>
          </w:p>
        </w:tc>
        <w:tc>
          <w:tcPr>
            <w:tcW w:w="6058" w:type="dxa"/>
            <w:gridSpan w:val="2"/>
            <w:vAlign w:val="center"/>
          </w:tcPr>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不要求提供</w:t>
            </w:r>
          </w:p>
          <w:p>
            <w:pPr>
              <w:topLinePunct/>
              <w:autoSpaceDE w:val="0"/>
              <w:autoSpaceDN w:val="0"/>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本采购项目履约保证金为合同金额的</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，提交方式为</w:t>
            </w:r>
            <w:r>
              <w:rPr>
                <w:rFonts w:hint="eastAsia" w:ascii="宋体" w:hAnsi="宋体" w:eastAsia="宋体" w:cs="宋体"/>
                <w:color w:val="auto"/>
                <w:szCs w:val="21"/>
                <w:highlight w:val="none"/>
              </w:rPr>
              <w:t>行电汇、金融机构或担保机构出具的保函</w:t>
            </w:r>
            <w:r>
              <w:rPr>
                <w:rFonts w:hint="eastAsia" w:ascii="宋体" w:hAnsi="宋体" w:eastAsia="宋体" w:cs="宋体"/>
                <w:color w:val="auto"/>
                <w:sz w:val="21"/>
                <w:szCs w:val="21"/>
                <w:highlight w:val="none"/>
              </w:rPr>
              <w:t>。</w:t>
            </w:r>
          </w:p>
          <w:p>
            <w:pPr>
              <w:pStyle w:val="11"/>
              <w:keepNext w:val="0"/>
              <w:keepLines w:val="0"/>
              <w:pageBreakBefore w:val="0"/>
              <w:kinsoku/>
              <w:wordWrap/>
              <w:overflowPunct/>
              <w:topLinePunct w:val="0"/>
              <w:autoSpaceDE/>
              <w:autoSpaceDN/>
              <w:bidi w:val="0"/>
              <w:adjustRightInd/>
              <w:snapToGrid/>
              <w:spacing w:before="60" w:after="60" w:line="36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收款人户名</w:t>
            </w:r>
            <w:r>
              <w:rPr>
                <w:rFonts w:hint="eastAsia" w:hAnsi="宋体" w:cs="宋体"/>
                <w:color w:val="auto"/>
                <w:kern w:val="2"/>
                <w:sz w:val="21"/>
                <w:szCs w:val="21"/>
                <w:highlight w:val="none"/>
                <w:lang w:val="en-US" w:eastAsia="zh-CN"/>
              </w:rPr>
              <w:t>:</w:t>
            </w:r>
          </w:p>
          <w:p>
            <w:pPr>
              <w:pStyle w:val="11"/>
              <w:keepNext w:val="0"/>
              <w:keepLines w:val="0"/>
              <w:pageBreakBefore w:val="0"/>
              <w:kinsoku/>
              <w:wordWrap/>
              <w:overflowPunct/>
              <w:topLinePunct w:val="0"/>
              <w:autoSpaceDE/>
              <w:autoSpaceDN/>
              <w:bidi w:val="0"/>
              <w:adjustRightInd/>
              <w:snapToGrid/>
              <w:spacing w:before="60" w:after="60" w:line="36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开户银行：</w:t>
            </w:r>
          </w:p>
          <w:p>
            <w:pPr>
              <w:pStyle w:val="11"/>
              <w:keepNext w:val="0"/>
              <w:keepLines w:val="0"/>
              <w:pageBreakBefore w:val="0"/>
              <w:kinsoku/>
              <w:wordWrap/>
              <w:overflowPunct/>
              <w:topLinePunct w:val="0"/>
              <w:autoSpaceDE/>
              <w:autoSpaceDN/>
              <w:bidi w:val="0"/>
              <w:adjustRightInd/>
              <w:snapToGrid/>
              <w:spacing w:before="60" w:after="60" w:line="36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2"/>
                <w:sz w:val="21"/>
                <w:szCs w:val="21"/>
                <w:highlight w:val="none"/>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984" w:type="dxa"/>
            <w:vAlign w:val="center"/>
          </w:tcPr>
          <w:p>
            <w:pPr>
              <w:topLinePunct/>
              <w:autoSpaceDE w:val="0"/>
              <w:autoSpaceDN w:val="0"/>
              <w:adjustRightInd w:val="0"/>
              <w:snapToGrid w:val="0"/>
              <w:spacing w:after="0" w:line="360" w:lineRule="auto"/>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接收质疑的方式、部门、电话和通讯地址</w:t>
            </w:r>
          </w:p>
        </w:tc>
        <w:tc>
          <w:tcPr>
            <w:tcW w:w="6058" w:type="dxa"/>
            <w:gridSpan w:val="2"/>
            <w:vAlign w:val="center"/>
          </w:tcPr>
          <w:p>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w:t>
            </w:r>
          </w:p>
          <w:p>
            <w:pPr>
              <w:spacing w:after="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（1）接收质疑函的方式：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书面形式</w:t>
            </w:r>
            <w:r>
              <w:rPr>
                <w:rFonts w:hint="eastAsia" w:ascii="宋体" w:hAnsi="宋体" w:eastAsia="宋体" w:cs="宋体"/>
                <w:color w:val="auto"/>
                <w:sz w:val="21"/>
                <w:szCs w:val="21"/>
                <w:highlight w:val="none"/>
                <w:u w:val="single"/>
              </w:rPr>
              <w:t xml:space="preserve">          </w:t>
            </w:r>
          </w:p>
          <w:p>
            <w:pPr>
              <w:spacing w:after="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（2）联系部门：</w:t>
            </w:r>
            <w:r>
              <w:rPr>
                <w:rFonts w:hint="eastAsia" w:ascii="宋体" w:hAnsi="宋体" w:eastAsia="宋体" w:cs="宋体"/>
                <w:color w:val="auto"/>
                <w:sz w:val="21"/>
                <w:szCs w:val="21"/>
                <w:highlight w:val="none"/>
                <w:u w:val="single"/>
              </w:rPr>
              <w:t xml:space="preserve">广西建设工程机电设备招标中心有限公司 </w:t>
            </w:r>
          </w:p>
          <w:p>
            <w:pPr>
              <w:spacing w:after="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0771-2807659</w:t>
            </w:r>
            <w:r>
              <w:rPr>
                <w:rFonts w:hint="eastAsia" w:ascii="宋体" w:hAnsi="宋体" w:eastAsia="宋体" w:cs="宋体"/>
                <w:color w:val="auto"/>
                <w:sz w:val="21"/>
                <w:szCs w:val="21"/>
                <w:highlight w:val="none"/>
                <w:u w:val="single"/>
              </w:rPr>
              <w:t xml:space="preserve">                   </w:t>
            </w:r>
          </w:p>
          <w:p>
            <w:pPr>
              <w:spacing w:after="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（4）通讯地址：</w:t>
            </w:r>
            <w:r>
              <w:rPr>
                <w:rFonts w:hint="eastAsia" w:ascii="宋体" w:hAnsi="宋体" w:eastAsia="宋体" w:cs="宋体"/>
                <w:color w:val="auto"/>
                <w:sz w:val="21"/>
                <w:szCs w:val="21"/>
                <w:highlight w:val="none"/>
                <w:u w:val="single"/>
              </w:rPr>
              <w:t>南宁市良庆区凯旋路15号南宁绿地中心5号楼6层</w:t>
            </w:r>
          </w:p>
          <w:p>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（5）电子邮箱：</w:t>
            </w:r>
            <w:r>
              <w:rPr>
                <w:rFonts w:hint="eastAsia" w:ascii="宋体" w:hAnsi="宋体" w:eastAsia="宋体" w:cs="宋体"/>
                <w:color w:val="auto"/>
                <w:sz w:val="21"/>
                <w:szCs w:val="21"/>
                <w:highlight w:val="none"/>
                <w:u w:val="single"/>
                <w:lang w:val="en-US" w:eastAsia="zh-CN"/>
              </w:rPr>
              <w:t>zbzx2807659@163.com</w:t>
            </w:r>
            <w:r>
              <w:rPr>
                <w:rFonts w:hint="eastAsia" w:ascii="宋体" w:hAnsi="宋体" w:eastAsia="宋体" w:cs="宋体"/>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984" w:type="dxa"/>
            <w:vAlign w:val="center"/>
          </w:tcPr>
          <w:p>
            <w:pPr>
              <w:topLinePunct/>
              <w:autoSpaceDE w:val="0"/>
              <w:autoSpaceDN w:val="0"/>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需提交的响应文件份数</w:t>
            </w:r>
          </w:p>
        </w:tc>
        <w:tc>
          <w:tcPr>
            <w:tcW w:w="6058" w:type="dxa"/>
            <w:gridSpan w:val="2"/>
            <w:vAlign w:val="center"/>
          </w:tcPr>
          <w:p>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需提交的响应文件份数：</w:t>
            </w:r>
          </w:p>
          <w:p>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（1）正本</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扫描件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Word）。</w:t>
            </w:r>
          </w:p>
          <w:p>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采用光盘或U盘刻录提交。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984" w:type="dxa"/>
            <w:vAlign w:val="center"/>
          </w:tcPr>
          <w:p>
            <w:pPr>
              <w:topLinePunct/>
              <w:autoSpaceDE w:val="0"/>
              <w:autoSpaceDN w:val="0"/>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代理费用</w:t>
            </w:r>
          </w:p>
        </w:tc>
        <w:tc>
          <w:tcPr>
            <w:tcW w:w="6058" w:type="dxa"/>
            <w:gridSpan w:val="2"/>
            <w:vAlign w:val="center"/>
          </w:tcPr>
          <w:p>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代理费用：</w:t>
            </w:r>
          </w:p>
          <w:p>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（1）本项目代理费用由</w:t>
            </w:r>
            <w:r>
              <w:rPr>
                <w:rFonts w:hint="eastAsia" w:ascii="宋体" w:hAnsi="宋体" w:eastAsia="宋体" w:cs="宋体"/>
                <w:color w:val="auto"/>
                <w:sz w:val="21"/>
                <w:szCs w:val="21"/>
                <w:highlight w:val="none"/>
                <w:u w:val="single"/>
              </w:rPr>
              <w:t>成交供应商</w:t>
            </w:r>
            <w:r>
              <w:rPr>
                <w:rFonts w:hint="eastAsia" w:ascii="宋体" w:hAnsi="宋体" w:eastAsia="宋体" w:cs="宋体"/>
                <w:color w:val="auto"/>
                <w:sz w:val="21"/>
                <w:szCs w:val="21"/>
                <w:highlight w:val="none"/>
              </w:rPr>
              <w:t>支付。</w:t>
            </w:r>
          </w:p>
          <w:p>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（2）代理费用收取方式及标准：</w:t>
            </w:r>
          </w:p>
          <w:p>
            <w:pPr>
              <w:ind w:firstLine="210" w:firstLineChars="100"/>
              <w:rPr>
                <w:rFonts w:hint="eastAsia" w:ascii="宋体" w:hAnsi="宋体" w:eastAsia="宋体" w:cs="宋体"/>
                <w:color w:val="auto"/>
                <w:highlight w:val="none"/>
                <w:lang w:val="zh-CN"/>
              </w:rPr>
            </w:pPr>
            <w:r>
              <w:rPr>
                <w:rFonts w:hint="eastAsia" w:ascii="宋体" w:hAnsi="宋体" w:eastAsia="宋体" w:cs="宋体"/>
                <w:color w:val="auto"/>
                <w:highlight w:val="none"/>
              </w:rPr>
              <w:t>在国家发展计划委员会《招标代理服务费管理暂行办法》（计价格〔2002〕1980号）、《国家发改委关于降低部分建设项目收费标准规范收费行为等有关问题的通知》（发改价格〔2011〕534号）规定的采购代理服务费标准费率基础上，</w:t>
            </w:r>
            <w:r>
              <w:rPr>
                <w:rFonts w:hint="eastAsia" w:ascii="宋体" w:hAnsi="宋体" w:eastAsia="宋体" w:cs="宋体"/>
                <w:color w:val="auto"/>
                <w:highlight w:val="none"/>
                <w:lang w:val="zh-CN"/>
              </w:rPr>
              <w:t>下浮</w:t>
            </w:r>
            <w:r>
              <w:rPr>
                <w:rFonts w:hint="eastAsia" w:ascii="宋体" w:hAnsi="宋体" w:eastAsia="宋体" w:cs="宋体"/>
                <w:color w:val="auto"/>
                <w:highlight w:val="none"/>
              </w:rPr>
              <w:t>30</w:t>
            </w:r>
            <w:r>
              <w:rPr>
                <w:rFonts w:hint="eastAsia" w:ascii="宋体" w:hAnsi="宋体" w:eastAsia="宋体" w:cs="宋体"/>
                <w:color w:val="auto"/>
                <w:highlight w:val="none"/>
                <w:lang w:val="zh-CN"/>
              </w:rPr>
              <w:t>%执行。即：</w:t>
            </w:r>
          </w:p>
          <w:p>
            <w:pPr>
              <w:rPr>
                <w:rFonts w:hint="eastAsia" w:ascii="宋体" w:hAnsi="宋体" w:eastAsia="宋体" w:cs="宋体"/>
                <w:color w:val="auto"/>
                <w:highlight w:val="none"/>
              </w:rPr>
            </w:pPr>
            <w:r>
              <w:rPr>
                <w:rFonts w:hint="eastAsia" w:ascii="宋体" w:hAnsi="宋体" w:eastAsia="宋体" w:cs="宋体"/>
                <w:color w:val="auto"/>
                <w:highlight w:val="none"/>
              </w:rPr>
              <w:t>全区税务系统代理费用=采购代理标准费用×（1-30%）。</w:t>
            </w:r>
          </w:p>
          <w:p>
            <w:pPr>
              <w:rPr>
                <w:rFonts w:hint="eastAsia" w:ascii="宋体" w:hAnsi="宋体" w:eastAsia="宋体" w:cs="宋体"/>
                <w:color w:val="auto"/>
                <w:highlight w:val="none"/>
              </w:rPr>
            </w:pPr>
            <w:r>
              <w:rPr>
                <w:rFonts w:hint="eastAsia" w:ascii="宋体" w:hAnsi="宋体" w:eastAsia="宋体" w:cs="宋体"/>
                <w:color w:val="auto"/>
                <w:highlight w:val="none"/>
              </w:rPr>
              <w:t>采购代理服务费标准费率（未下浮30%）：</w:t>
            </w:r>
          </w:p>
          <w:tbl>
            <w:tblPr>
              <w:tblStyle w:val="16"/>
              <w:tblpPr w:leftFromText="180" w:rightFromText="180" w:vertAnchor="text" w:horzAnchor="page" w:tblpX="166" w:tblpY="74"/>
              <w:tblOverlap w:val="never"/>
              <w:tblW w:w="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915"/>
              <w:gridCol w:w="975"/>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054" w:type="dxa"/>
                  <w:tcBorders>
                    <w:tl2br w:val="single" w:color="auto" w:sz="4" w:space="0"/>
                  </w:tcBorders>
                  <w:vAlign w:val="top"/>
                </w:tcPr>
                <w:p>
                  <w:pPr>
                    <w:ind w:left="1365" w:hanging="1365" w:hangingChars="650"/>
                    <w:rPr>
                      <w:rFonts w:hint="eastAsia" w:ascii="宋体" w:hAnsi="宋体" w:eastAsia="宋体" w:cs="宋体"/>
                      <w:color w:val="auto"/>
                      <w:highlight w:val="none"/>
                    </w:rPr>
                  </w:pPr>
                  <w:r>
                    <w:rPr>
                      <w:rFonts w:hint="eastAsia" w:ascii="宋体" w:hAnsi="宋体" w:eastAsia="宋体" w:cs="宋体"/>
                      <w:color w:val="auto"/>
                      <w:highlight w:val="none"/>
                    </w:rPr>
                    <w:t xml:space="preserve">            费率</w:t>
                  </w:r>
                </w:p>
                <w:p>
                  <w:pPr>
                    <w:rPr>
                      <w:rFonts w:hint="eastAsia" w:ascii="宋体" w:hAnsi="宋体" w:eastAsia="宋体" w:cs="宋体"/>
                      <w:color w:val="auto"/>
                      <w:highlight w:val="none"/>
                    </w:rPr>
                  </w:pPr>
                  <w:r>
                    <w:rPr>
                      <w:rFonts w:hint="eastAsia" w:ascii="宋体" w:hAnsi="宋体" w:cs="宋体"/>
                      <w:color w:val="auto"/>
                      <w:highlight w:val="none"/>
                      <w:lang w:eastAsia="zh-CN"/>
                    </w:rPr>
                    <w:t>成交</w:t>
                  </w:r>
                  <w:r>
                    <w:rPr>
                      <w:rFonts w:hint="eastAsia" w:ascii="宋体" w:hAnsi="宋体" w:eastAsia="宋体" w:cs="宋体"/>
                      <w:color w:val="auto"/>
                      <w:highlight w:val="none"/>
                    </w:rPr>
                    <w:t>金额</w:t>
                  </w:r>
                </w:p>
              </w:tc>
              <w:tc>
                <w:tcPr>
                  <w:tcW w:w="915" w:type="dxa"/>
                  <w:vAlign w:val="center"/>
                </w:tcPr>
                <w:p>
                  <w:pPr>
                    <w:ind w:firstLine="105" w:firstLineChars="50"/>
                    <w:jc w:val="center"/>
                    <w:rPr>
                      <w:rFonts w:hint="eastAsia" w:ascii="宋体" w:hAnsi="宋体" w:eastAsia="宋体" w:cs="宋体"/>
                      <w:color w:val="auto"/>
                      <w:highlight w:val="none"/>
                    </w:rPr>
                  </w:pPr>
                  <w:r>
                    <w:rPr>
                      <w:rFonts w:hint="eastAsia" w:ascii="宋体" w:hAnsi="宋体" w:eastAsia="宋体" w:cs="宋体"/>
                      <w:color w:val="auto"/>
                      <w:highlight w:val="none"/>
                    </w:rPr>
                    <w:t>货物招标</w:t>
                  </w:r>
                </w:p>
              </w:tc>
              <w:tc>
                <w:tcPr>
                  <w:tcW w:w="975"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服务招标</w:t>
                  </w:r>
                </w:p>
              </w:tc>
              <w:tc>
                <w:tcPr>
                  <w:tcW w:w="87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100万元以下</w:t>
                  </w:r>
                </w:p>
              </w:tc>
              <w:tc>
                <w:tcPr>
                  <w:tcW w:w="915"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975"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87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100～500万元</w:t>
                  </w:r>
                </w:p>
              </w:tc>
              <w:tc>
                <w:tcPr>
                  <w:tcW w:w="915"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975"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87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500～1000万元</w:t>
                  </w:r>
                </w:p>
              </w:tc>
              <w:tc>
                <w:tcPr>
                  <w:tcW w:w="915"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975"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0.45%</w:t>
                  </w:r>
                </w:p>
              </w:tc>
              <w:tc>
                <w:tcPr>
                  <w:tcW w:w="87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1000～5000万元</w:t>
                  </w:r>
                </w:p>
              </w:tc>
              <w:tc>
                <w:tcPr>
                  <w:tcW w:w="915"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0.5%</w:t>
                  </w:r>
                </w:p>
              </w:tc>
              <w:tc>
                <w:tcPr>
                  <w:tcW w:w="975"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87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5000万元～1亿元</w:t>
                  </w:r>
                </w:p>
              </w:tc>
              <w:tc>
                <w:tcPr>
                  <w:tcW w:w="915"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975"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0.1%</w:t>
                  </w:r>
                </w:p>
              </w:tc>
              <w:tc>
                <w:tcPr>
                  <w:tcW w:w="87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1～5亿元</w:t>
                  </w:r>
                </w:p>
              </w:tc>
              <w:tc>
                <w:tcPr>
                  <w:tcW w:w="915"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975"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87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054"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5～10亿元</w:t>
                  </w:r>
                </w:p>
              </w:tc>
              <w:tc>
                <w:tcPr>
                  <w:tcW w:w="915"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0.035%</w:t>
                  </w:r>
                </w:p>
              </w:tc>
              <w:tc>
                <w:tcPr>
                  <w:tcW w:w="975"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0.035%</w:t>
                  </w:r>
                </w:p>
              </w:tc>
              <w:tc>
                <w:tcPr>
                  <w:tcW w:w="87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0.035%</w:t>
                  </w:r>
                </w:p>
              </w:tc>
            </w:tr>
          </w:tbl>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t>注：采购代理服务收费按差额定率累进法计算。</w:t>
            </w:r>
          </w:p>
          <w:p>
            <w:pPr>
              <w:rPr>
                <w:rFonts w:hint="eastAsia" w:ascii="宋体" w:hAnsi="宋体" w:eastAsia="宋体" w:cs="宋体"/>
                <w:color w:val="auto"/>
                <w:highlight w:val="none"/>
              </w:rPr>
            </w:pPr>
            <w:r>
              <w:rPr>
                <w:rFonts w:hint="eastAsia" w:ascii="宋体" w:hAnsi="宋体" w:eastAsia="宋体" w:cs="宋体"/>
                <w:color w:val="auto"/>
                <w:highlight w:val="none"/>
              </w:rPr>
              <w:t>例如：广西税务系统某工程招标代理业务</w:t>
            </w:r>
            <w:r>
              <w:rPr>
                <w:rFonts w:hint="eastAsia" w:ascii="宋体" w:hAnsi="宋体" w:cs="宋体"/>
                <w:color w:val="auto"/>
                <w:highlight w:val="none"/>
                <w:lang w:eastAsia="zh-CN"/>
              </w:rPr>
              <w:t>成交</w:t>
            </w:r>
            <w:r>
              <w:rPr>
                <w:rFonts w:hint="eastAsia" w:ascii="宋体" w:hAnsi="宋体" w:eastAsia="宋体" w:cs="宋体"/>
                <w:color w:val="auto"/>
                <w:highlight w:val="none"/>
              </w:rPr>
              <w:t>金额为6000万元，计算招标代理服务收费额如下：</w:t>
            </w:r>
          </w:p>
          <w:p>
            <w:pPr>
              <w:rPr>
                <w:rFonts w:hint="eastAsia" w:ascii="宋体" w:hAnsi="宋体" w:eastAsia="宋体" w:cs="宋体"/>
                <w:color w:val="auto"/>
                <w:highlight w:val="none"/>
              </w:rPr>
            </w:pPr>
            <w:r>
              <w:rPr>
                <w:rFonts w:hint="eastAsia" w:ascii="宋体" w:hAnsi="宋体" w:eastAsia="宋体" w:cs="宋体"/>
                <w:color w:val="auto"/>
                <w:highlight w:val="none"/>
              </w:rPr>
              <w:t>100万元×1.0%=1万元</w:t>
            </w:r>
          </w:p>
          <w:p>
            <w:pPr>
              <w:rPr>
                <w:rFonts w:hint="eastAsia" w:ascii="宋体" w:hAnsi="宋体" w:eastAsia="宋体" w:cs="宋体"/>
                <w:color w:val="auto"/>
                <w:highlight w:val="none"/>
              </w:rPr>
            </w:pPr>
            <w:r>
              <w:rPr>
                <w:rFonts w:hint="eastAsia" w:ascii="宋体" w:hAnsi="宋体" w:eastAsia="宋体" w:cs="宋体"/>
                <w:color w:val="auto"/>
                <w:highlight w:val="none"/>
              </w:rPr>
              <w:t>（500-100）万元×0.7%=2.8万元</w:t>
            </w:r>
          </w:p>
          <w:p>
            <w:pPr>
              <w:rPr>
                <w:rFonts w:hint="eastAsia" w:ascii="宋体" w:hAnsi="宋体" w:eastAsia="宋体" w:cs="宋体"/>
                <w:color w:val="auto"/>
                <w:highlight w:val="none"/>
              </w:rPr>
            </w:pPr>
            <w:r>
              <w:rPr>
                <w:rFonts w:hint="eastAsia" w:ascii="宋体" w:hAnsi="宋体" w:eastAsia="宋体" w:cs="宋体"/>
                <w:color w:val="auto"/>
                <w:highlight w:val="none"/>
              </w:rPr>
              <w:t>（1000-500）万元×0.55%=2.75万元</w:t>
            </w:r>
          </w:p>
          <w:p>
            <w:pPr>
              <w:rPr>
                <w:rFonts w:hint="eastAsia" w:ascii="宋体" w:hAnsi="宋体" w:eastAsia="宋体" w:cs="宋体"/>
                <w:color w:val="auto"/>
                <w:highlight w:val="none"/>
              </w:rPr>
            </w:pPr>
            <w:r>
              <w:rPr>
                <w:rFonts w:hint="eastAsia" w:ascii="宋体" w:hAnsi="宋体" w:eastAsia="宋体" w:cs="宋体"/>
                <w:color w:val="auto"/>
                <w:highlight w:val="none"/>
              </w:rPr>
              <w:t>（5000-1000）万元×0.35%=14万元</w:t>
            </w:r>
          </w:p>
          <w:p>
            <w:pPr>
              <w:rPr>
                <w:rFonts w:hint="eastAsia" w:ascii="宋体" w:hAnsi="宋体" w:eastAsia="宋体" w:cs="宋体"/>
                <w:color w:val="auto"/>
                <w:highlight w:val="none"/>
              </w:rPr>
            </w:pPr>
            <w:r>
              <w:rPr>
                <w:rFonts w:hint="eastAsia" w:ascii="宋体" w:hAnsi="宋体" w:eastAsia="宋体" w:cs="宋体"/>
                <w:color w:val="auto"/>
                <w:highlight w:val="none"/>
              </w:rPr>
              <w:t>（6000-5000）万元×0.2%=2万元</w:t>
            </w:r>
          </w:p>
          <w:p>
            <w:pPr>
              <w:rPr>
                <w:rFonts w:hint="eastAsia" w:ascii="宋体" w:hAnsi="宋体" w:eastAsia="宋体" w:cs="宋体"/>
                <w:color w:val="auto"/>
                <w:highlight w:val="none"/>
              </w:rPr>
            </w:pPr>
            <w:r>
              <w:rPr>
                <w:rFonts w:hint="eastAsia" w:ascii="宋体" w:hAnsi="宋体" w:eastAsia="宋体" w:cs="宋体"/>
                <w:color w:val="auto"/>
                <w:highlight w:val="none"/>
              </w:rPr>
              <w:t>合计收费（标准费率）=1+2.8+2.75+14+2=22.55（万元）</w:t>
            </w:r>
          </w:p>
          <w:p>
            <w:pPr>
              <w:shd w:val="clear" w:color="auto" w:fill="auto"/>
              <w:spacing w:line="40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合计收费（标准费率下浮30%）=22.55×（1-30%）=15.785（万元）</w:t>
            </w:r>
          </w:p>
          <w:p>
            <w:pPr>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代理服务费汇到如下指定账户：</w:t>
            </w:r>
          </w:p>
          <w:p>
            <w:pPr>
              <w:keepLines w:val="0"/>
              <w:pageBreakBefore w:val="0"/>
              <w:widowControl w:val="0"/>
              <w:shd w:val="clear" w:color="auto" w:fill="auto"/>
              <w:kinsoku/>
              <w:wordWrap/>
              <w:overflowPunct/>
              <w:topLinePunct w:val="0"/>
              <w:autoSpaceDE/>
              <w:autoSpaceDN/>
              <w:bidi w:val="0"/>
              <w:adjustRightInd/>
              <w:snapToGrid/>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收款人户名：广西建设工程机电设备招标中心有限公司</w:t>
            </w:r>
          </w:p>
          <w:p>
            <w:pPr>
              <w:keepLines w:val="0"/>
              <w:pageBreakBefore w:val="0"/>
              <w:widowControl w:val="0"/>
              <w:shd w:val="clear" w:color="auto" w:fill="auto"/>
              <w:kinsoku/>
              <w:wordWrap/>
              <w:overflowPunct/>
              <w:topLinePunct w:val="0"/>
              <w:autoSpaceDE/>
              <w:autoSpaceDN/>
              <w:bidi w:val="0"/>
              <w:adjustRightInd/>
              <w:snapToGrid/>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开户银行：招商银行南宁分行营业部</w:t>
            </w:r>
          </w:p>
          <w:p>
            <w:pPr>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Cs w:val="21"/>
                <w:highlight w:val="none"/>
              </w:rPr>
              <w:t>银行账号： 7719 0142 3310 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topLinePunct/>
              <w:autoSpaceDE w:val="0"/>
              <w:autoSpaceDN w:val="0"/>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984" w:type="dxa"/>
            <w:vAlign w:val="center"/>
          </w:tcPr>
          <w:p>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其他补充事项</w:t>
            </w:r>
          </w:p>
        </w:tc>
        <w:tc>
          <w:tcPr>
            <w:tcW w:w="6058"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其他补充事项：</w:t>
            </w:r>
            <w:r>
              <w:rPr>
                <w:rFonts w:hint="eastAsia" w:ascii="宋体" w:hAnsi="宋体" w:eastAsia="宋体" w:cs="宋体"/>
                <w:color w:val="auto"/>
                <w:szCs w:val="21"/>
                <w:highlight w:val="none"/>
              </w:rPr>
              <w:t>1.本竞争性磋商文件中描述供应商的“公章”是指根据我国对公章的管理规定，用供应商法定主体行为名称制作的印章，除本竞争性磋商文件有特殊规定外，供应商的财务章、部门章、分公司章、工会章、合同章、投标专用章、业务专用章等其它形式印章均不能代替公章。</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2.本竞争性磋商文件中描述供应商的“签字”是指供应商的法定代表人或被授权人亲自在竞争性磋商文件规定签署处亲笔写上个人的名字的行为，私章、签字章、印鉴、影印等其它形式均不能代替亲笔签字。</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3.成交供应商享受中小企业扶持政策的，采购人、采购代理机构应当随成交结果公开成交供应商的《中小企业声明函》。</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4.成交供应商为残疾人福利性单位的，采购人或者其委托的采购代理机构应当随成交结果同时公告其《残疾人福利性单位声明函》，接受社会监督。</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5.本项目非“线上采购项目”。</w:t>
            </w:r>
          </w:p>
        </w:tc>
      </w:tr>
    </w:tbl>
    <w:p>
      <w:pPr>
        <w:spacing w:after="0" w:line="240" w:lineRule="auto"/>
        <w:rPr>
          <w:rFonts w:hint="eastAsia" w:ascii="宋体" w:hAnsi="宋体" w:eastAsia="宋体" w:cs="宋体"/>
          <w:color w:val="auto"/>
          <w:highlight w:val="none"/>
        </w:rPr>
      </w:pPr>
    </w:p>
    <w:p>
      <w:pPr>
        <w:spacing w:after="0" w:line="240" w:lineRule="auto"/>
        <w:rPr>
          <w:rFonts w:hint="eastAsia" w:ascii="宋体" w:hAnsi="宋体" w:eastAsia="宋体" w:cs="宋体"/>
          <w:color w:val="auto"/>
          <w:highlight w:val="none"/>
        </w:rPr>
        <w:sectPr>
          <w:pgSz w:w="11906" w:h="16838"/>
          <w:pgMar w:top="1440" w:right="1752" w:bottom="1440" w:left="1752" w:header="851" w:footer="992" w:gutter="0"/>
          <w:pgNumType w:fmt="decimal"/>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eastAsia="宋体" w:cs="宋体"/>
          <w:color w:val="auto"/>
          <w:highlight w:val="none"/>
        </w:rPr>
      </w:pPr>
      <w:bookmarkStart w:id="21" w:name="_Toc132880658"/>
      <w:bookmarkStart w:id="22" w:name="_Toc17193"/>
      <w:r>
        <w:rPr>
          <w:rFonts w:hint="eastAsia" w:ascii="宋体" w:hAnsi="宋体" w:eastAsia="宋体" w:cs="宋体"/>
          <w:color w:val="auto"/>
          <w:highlight w:val="none"/>
        </w:rPr>
        <w:t>一、总则</w:t>
      </w:r>
      <w:bookmarkEnd w:id="21"/>
      <w:bookmarkEnd w:id="22"/>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1.预算资金及来源</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本项目已经国家税务总局南宁市税务局批准立项。</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本项目预算资金见</w:t>
      </w:r>
      <w:r>
        <w:rPr>
          <w:rFonts w:hint="eastAsia" w:ascii="宋体" w:hAnsi="宋体" w:eastAsia="宋体" w:cs="宋体"/>
          <w:b/>
          <w:bCs/>
          <w:color w:val="auto"/>
          <w:sz w:val="21"/>
          <w:szCs w:val="21"/>
          <w:highlight w:val="none"/>
        </w:rPr>
        <w:t>供应商须知前附表</w:t>
      </w:r>
      <w:r>
        <w:rPr>
          <w:rFonts w:hint="eastAsia" w:ascii="宋体" w:hAnsi="宋体" w:eastAsia="宋体" w:cs="宋体"/>
          <w:color w:val="auto"/>
          <w:sz w:val="21"/>
          <w:szCs w:val="21"/>
          <w:highlight w:val="none"/>
        </w:rPr>
        <w:t>，已列入国家税务总局南宁市税务局预算。</w:t>
      </w:r>
    </w:p>
    <w:p>
      <w:pPr>
        <w:pageBreakBefore w:val="0"/>
        <w:numPr>
          <w:ilvl w:val="0"/>
          <w:numId w:val="0"/>
        </w:numPr>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2.合格的产品和服务（工程）</w:t>
      </w:r>
    </w:p>
    <w:p>
      <w:pPr>
        <w:pageBreakBefore w:val="0"/>
        <w:tabs>
          <w:tab w:val="left" w:pos="2160"/>
        </w:tabs>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本项目所涉及的所有产品和服务（工程）均应来自中国境内（指关境内），合同金额的支付也仅限于这些产品和服务（工程）。</w:t>
      </w:r>
    </w:p>
    <w:p>
      <w:pPr>
        <w:pageBreakBefore w:val="0"/>
        <w:tabs>
          <w:tab w:val="left" w:pos="2160"/>
        </w:tabs>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合格的产品和服务（工程），即</w:t>
      </w:r>
      <w:r>
        <w:rPr>
          <w:rFonts w:hint="eastAsia" w:ascii="宋体" w:hAnsi="宋体" w:eastAsia="宋体" w:cs="宋体"/>
          <w:b/>
          <w:bCs/>
          <w:color w:val="auto"/>
          <w:sz w:val="21"/>
          <w:szCs w:val="21"/>
          <w:highlight w:val="none"/>
        </w:rPr>
        <w:t>采购需求</w:t>
      </w:r>
      <w:r>
        <w:rPr>
          <w:rFonts w:hint="eastAsia" w:ascii="宋体" w:hAnsi="宋体" w:eastAsia="宋体" w:cs="宋体"/>
          <w:color w:val="auto"/>
          <w:sz w:val="21"/>
          <w:szCs w:val="21"/>
          <w:highlight w:val="none"/>
        </w:rPr>
        <w:t>见</w:t>
      </w:r>
      <w:r>
        <w:rPr>
          <w:rFonts w:hint="eastAsia" w:ascii="宋体" w:hAnsi="宋体" w:eastAsia="宋体" w:cs="宋体"/>
          <w:b/>
          <w:color w:val="auto"/>
          <w:sz w:val="21"/>
          <w:szCs w:val="21"/>
          <w:highlight w:val="none"/>
        </w:rPr>
        <w:t>采购文件（技术部分）。</w:t>
      </w:r>
    </w:p>
    <w:p>
      <w:pPr>
        <w:pageBreakBefore w:val="0"/>
        <w:kinsoku/>
        <w:wordWrap/>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供应商应保证所提供的产品及服务（工程）免受第三方提出侵犯其知识产权（专利权、商标权、工业设计权及使用权）的请求及起诉。</w:t>
      </w:r>
    </w:p>
    <w:p>
      <w:pPr>
        <w:pageBreakBefore w:val="0"/>
        <w:numPr>
          <w:ilvl w:val="0"/>
          <w:numId w:val="0"/>
        </w:numPr>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3.合格的供应商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3.1一般规定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3.1.1供应商应遵守《政府采购法》及其实施条例、《政府采购竞争性磋商采购方式管理暂行办法》、《政府采购质疑和投诉办法》及有关采购的规定，同时还应遵守有关法律、法规和规章的强制性规定。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3.1.2供应商的资格要求及本项目的特定资格要求见</w:t>
      </w:r>
      <w:r>
        <w:rPr>
          <w:rFonts w:hint="eastAsia" w:ascii="宋体" w:hAnsi="宋体" w:eastAsia="宋体" w:cs="宋体"/>
          <w:b/>
          <w:bCs/>
          <w:color w:val="auto"/>
          <w:highlight w:val="none"/>
        </w:rPr>
        <w:t>供应商须知前附</w:t>
      </w:r>
      <w:r>
        <w:rPr>
          <w:rFonts w:hint="eastAsia" w:ascii="宋体" w:hAnsi="宋体" w:eastAsia="宋体" w:cs="宋体"/>
          <w:color w:val="auto"/>
          <w:highlight w:val="none"/>
        </w:rPr>
        <w:t>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3.1.3资格条件中所称“重大违法记录”，是指供应商因违法经营受到刑事处罚或者责令停产停业、吊销许可证或者执照、较大数额罚款等行政处罚。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供应商在参加采购活动前3年内因违法经营被禁止在一定期限内参加采购活动，期限届满的，可以参加采购活动。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“较大数额罚款”认定为200万元以上的罚款，法律、行政法规以及国务院有关部门明确规定相关领域“较大数额罚款”标准高于200万元的，从其规定。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3.1.4信用记录要求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小组将通过“信用中国”网站（www.creditchina.gov.cn）、中国政府采购网（www.ccgp.gov.cn）等渠道查询供应商的信用记录，并对供应商信用记录进行甄别，对列入失信被执行人、重大税收违法案件当事人名单、政府采购严重违法失信行为记录名单及其他不符合《中华人民共和国政府采购法》第二十二条规定条件的供应商，应当拒绝其参与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两个以上的自然人、法人或者其他组织组成一个联合体，以一个供应商的身份共同参加采购活动的，应当对所有联合体成员进行信用记录查询，联合体成员存在不良信用记录的，视同联合体存在不良信用记录。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3.2联合体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3.2.1若本项目接受联合体，则两个以上的自然人、法人或者其他组织可以组成一个联合体，以一个供应商的身份共同参加采购。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3.2.2以联合体形式参加磋商的，联合体各方应按第二章要求提供资格条件材料。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3.2.3联合体中有同类资质的供应商按照联合体分工承担相同工作的，应当按照资质等级较低的供应商确定资质等级。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3.2.4联合体应当提交联合协议，载明联合体各方承担的工作和义务。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3.2.5联合体各方应当共同与采购人签订采购合同，就采购合同约定的事项对采购人承担连带责任。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3.2.6以联合体形式参加采购活动的，联合体各方不得再单独参加或者与其他供应商另外组成联合体参加同一合同项下的采购活动。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3.3禁止规定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3.3.1单位负责人为同一人或者存在直接控股、管理关系的不同供应商，不得参加同一采购包的采购活动。否则响应均无效。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3.3.2除单一来源采购项目外，为采购项目提供整体设计、规范编制或者项目管理、监理、检测等服务的供应商，不得再参加该采购项目的其他采购活动。否则响应无效。</w:t>
      </w:r>
    </w:p>
    <w:p>
      <w:pPr>
        <w:pageBreakBefore w:val="0"/>
        <w:numPr>
          <w:ilvl w:val="0"/>
          <w:numId w:val="0"/>
        </w:numPr>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4.磋商响应费用</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供应商应承担所有与编写、提交响应文件有关的费用，不论磋商的结果如何，采购人在任何情况下均无义务和责任承担这些费用。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eastAsia="宋体" w:cs="宋体"/>
          <w:color w:val="auto"/>
          <w:highlight w:val="none"/>
        </w:rPr>
      </w:pPr>
      <w:bookmarkStart w:id="23" w:name="_Toc132880659"/>
      <w:bookmarkStart w:id="24" w:name="_Toc31361"/>
      <w:r>
        <w:rPr>
          <w:rFonts w:hint="eastAsia" w:ascii="宋体" w:hAnsi="宋体" w:eastAsia="宋体" w:cs="宋体"/>
          <w:color w:val="auto"/>
          <w:highlight w:val="none"/>
        </w:rPr>
        <w:t>二、采购文件</w:t>
      </w:r>
      <w:bookmarkEnd w:id="23"/>
      <w:bookmarkEnd w:id="24"/>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5.采购文件构成</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第一部分 商务部分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（1）磋商邀请</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（2）供应商须知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（3）评审方法及标准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（4）采购合同文本</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（5）响应文件格式</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第二部分 技术部分</w:t>
      </w:r>
    </w:p>
    <w:p>
      <w:pPr>
        <w:pageBreakBefore w:val="0"/>
        <w:kinsoku/>
        <w:wordWrap/>
        <w:topLinePunct/>
        <w:autoSpaceDE w:val="0"/>
        <w:autoSpaceDN w:val="0"/>
        <w:bidi w:val="0"/>
        <w:adjustRightInd w:val="0"/>
        <w:snapToGrid w:val="0"/>
        <w:spacing w:after="0" w:line="360" w:lineRule="auto"/>
        <w:ind w:firstLine="413" w:firstLineChars="196"/>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6.采购文件询问、澄清或修改</w:t>
      </w:r>
    </w:p>
    <w:p>
      <w:pPr>
        <w:pageBreakBefore w:val="0"/>
        <w:widowControl/>
        <w:kinsoku/>
        <w:wordWrap/>
        <w:topLinePunct/>
        <w:autoSpaceDE w:val="0"/>
        <w:autoSpaceDN w:val="0"/>
        <w:bidi w:val="0"/>
        <w:adjustRightInd w:val="0"/>
        <w:snapToGrid w:val="0"/>
        <w:spacing w:after="0" w:line="360" w:lineRule="auto"/>
        <w:ind w:firstLine="420"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6.1 供应商对采购文件如有疑问的，可以向采购人或者采购代理机构提出询问，采购人或者采购代理机构应当在3个工作日内作出答复</w:t>
      </w:r>
      <w:r>
        <w:rPr>
          <w:rFonts w:hint="eastAsia" w:ascii="宋体" w:hAnsi="宋体" w:eastAsia="宋体" w:cs="宋体"/>
          <w:bCs/>
          <w:color w:val="auto"/>
          <w:sz w:val="21"/>
          <w:szCs w:val="21"/>
          <w:highlight w:val="none"/>
        </w:rPr>
        <w:t>，但答复的内容不得涉及商业秘密。</w:t>
      </w:r>
      <w:r>
        <w:rPr>
          <w:rFonts w:hint="eastAsia" w:ascii="宋体" w:hAnsi="宋体" w:eastAsia="宋体" w:cs="宋体"/>
          <w:color w:val="auto"/>
          <w:sz w:val="21"/>
          <w:szCs w:val="21"/>
          <w:highlight w:val="none"/>
        </w:rPr>
        <w:t>如有必要，采购人或者采购代理机构可对采购文件进行澄清或者修改。</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 提交首次响应文件截止之日前，采购人、采购代理机构或者磋商小组可以对已发出的磋商文件进行必要的澄清或者修改。</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 澄清或者修改将在原公告发布媒体上发布更正公告，并以书面形式通知所有获取磋商文件的供应商。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6.5澄清或者修改的内容作为磋商文件的组成部分。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eastAsia="宋体" w:cs="宋体"/>
          <w:color w:val="auto"/>
          <w:highlight w:val="none"/>
        </w:rPr>
      </w:pPr>
      <w:bookmarkStart w:id="25" w:name="_Toc132880660"/>
      <w:bookmarkStart w:id="26" w:name="_Toc21281"/>
      <w:r>
        <w:rPr>
          <w:rFonts w:hint="eastAsia" w:ascii="宋体" w:hAnsi="宋体" w:eastAsia="宋体" w:cs="宋体"/>
          <w:color w:val="auto"/>
          <w:highlight w:val="none"/>
        </w:rPr>
        <w:t>三、响应文件</w:t>
      </w:r>
      <w:bookmarkEnd w:id="25"/>
      <w:bookmarkEnd w:id="26"/>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响应文件编制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7.1响应文件的编制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7.1.1供应商应先仔细阅读采购文件的全部内容后，再进行响应文件的编制。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7.1.2响应文件应满足采购文件提出的实质性要求和条件，并保证其所提交的全部资料是不可割离且真实、有效、准确、完整和不具有任何误导性的，否则造成不利后果由供应商承担责任。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7.2响应文件的语言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7.2.1除采购文件另有规定外，响应文件应使用中文文本并使用中文简化字，若有不同文本，以中文简化字文本为准。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7.2.2响应文件提供的全部资料中，若属于非中文描述的，应同时提供中文简化字译本。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7.2.3除在采购文件的要求中另有规定外，响应文件计量单位应使用中华人民共和国法定计量单位。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7.3供应商制作响应文件前须提前办理数字证书和电子签章，办理方式和注意事项详见网站《供应商操作手册》。供应商在国家税务总局集中采购中心网站（https://swcg.chinatax.gov.cn） “下载中心”下载并安装“供应商投标工具”，使用投标工具编制响应文件。（线上采购项目适用）</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8.响应文件的组成</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 响应文件包括商务部分和技术部分。</w:t>
      </w:r>
    </w:p>
    <w:p>
      <w:pPr>
        <w:pageBreakBefore w:val="0"/>
        <w:kinsoku/>
        <w:wordWrap/>
        <w:topLinePunct/>
        <w:autoSpaceDE w:val="0"/>
        <w:autoSpaceDN w:val="0"/>
        <w:bidi w:val="0"/>
        <w:adjustRightInd w:val="0"/>
        <w:snapToGrid w:val="0"/>
        <w:spacing w:after="0" w:line="360" w:lineRule="auto"/>
        <w:ind w:firstLine="428" w:firstLineChars="20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 响应文件</w:t>
      </w:r>
      <w:r>
        <w:rPr>
          <w:rFonts w:hint="eastAsia" w:ascii="宋体" w:hAnsi="宋体" w:eastAsia="宋体" w:cs="宋体"/>
          <w:b/>
          <w:bCs/>
          <w:color w:val="auto"/>
          <w:sz w:val="21"/>
          <w:szCs w:val="21"/>
          <w:highlight w:val="none"/>
        </w:rPr>
        <w:t>商务部分</w:t>
      </w:r>
      <w:r>
        <w:rPr>
          <w:rFonts w:hint="eastAsia" w:ascii="宋体" w:hAnsi="宋体" w:eastAsia="宋体" w:cs="宋体"/>
          <w:color w:val="auto"/>
          <w:sz w:val="21"/>
          <w:szCs w:val="21"/>
          <w:highlight w:val="none"/>
        </w:rPr>
        <w:t>主要包括的文件和资料：</w:t>
      </w:r>
    </w:p>
    <w:p>
      <w:pPr>
        <w:pageBreakBefore w:val="0"/>
        <w:kinsoku/>
        <w:wordWrap/>
        <w:topLinePunct/>
        <w:autoSpaceDE w:val="0"/>
        <w:autoSpaceDN w:val="0"/>
        <w:bidi w:val="0"/>
        <w:adjustRightInd w:val="0"/>
        <w:snapToGrid w:val="0"/>
        <w:spacing w:after="0" w:line="360" w:lineRule="auto"/>
        <w:ind w:firstLine="428" w:firstLineChars="20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8.2.1 资格证明文件，见</w:t>
      </w:r>
      <w:r>
        <w:rPr>
          <w:rFonts w:hint="eastAsia" w:ascii="宋体" w:hAnsi="宋体" w:eastAsia="宋体" w:cs="宋体"/>
          <w:b/>
          <w:color w:val="auto"/>
          <w:sz w:val="21"/>
          <w:szCs w:val="21"/>
          <w:highlight w:val="none"/>
        </w:rPr>
        <w:t>供应商须知前附表。</w:t>
      </w:r>
    </w:p>
    <w:p>
      <w:pPr>
        <w:pageBreakBefore w:val="0"/>
        <w:kinsoku/>
        <w:wordWrap/>
        <w:overflowPunct w:val="0"/>
        <w:autoSpaceDE w:val="0"/>
        <w:autoSpaceDN w:val="0"/>
        <w:bidi w:val="0"/>
        <w:adjustRightInd w:val="0"/>
        <w:snapToGrid w:val="0"/>
        <w:spacing w:after="0" w:line="360" w:lineRule="auto"/>
        <w:ind w:firstLine="426" w:firstLineChars="203"/>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8.2.2 其他文件及资料，见</w:t>
      </w:r>
      <w:r>
        <w:rPr>
          <w:rFonts w:hint="eastAsia" w:ascii="宋体" w:hAnsi="宋体" w:eastAsia="宋体" w:cs="宋体"/>
          <w:b/>
          <w:color w:val="auto"/>
          <w:sz w:val="21"/>
          <w:szCs w:val="21"/>
          <w:highlight w:val="none"/>
        </w:rPr>
        <w:t>供应商须知前附表。</w:t>
      </w:r>
    </w:p>
    <w:p>
      <w:pPr>
        <w:pageBreakBefore w:val="0"/>
        <w:kinsoku/>
        <w:wordWrap/>
        <w:overflowPunct w:val="0"/>
        <w:autoSpaceDE w:val="0"/>
        <w:autoSpaceDN w:val="0"/>
        <w:bidi w:val="0"/>
        <w:adjustRightInd w:val="0"/>
        <w:snapToGrid w:val="0"/>
        <w:spacing w:after="0" w:line="360" w:lineRule="auto"/>
        <w:ind w:firstLine="426" w:firstLineChars="203"/>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 响应文件</w:t>
      </w:r>
      <w:r>
        <w:rPr>
          <w:rFonts w:hint="eastAsia" w:ascii="宋体" w:hAnsi="宋体" w:eastAsia="宋体" w:cs="宋体"/>
          <w:b/>
          <w:bCs/>
          <w:color w:val="auto"/>
          <w:sz w:val="21"/>
          <w:szCs w:val="21"/>
          <w:highlight w:val="none"/>
        </w:rPr>
        <w:t>技术部分</w:t>
      </w:r>
      <w:r>
        <w:rPr>
          <w:rFonts w:hint="eastAsia" w:ascii="宋体" w:hAnsi="宋体" w:eastAsia="宋体" w:cs="宋体"/>
          <w:color w:val="auto"/>
          <w:sz w:val="21"/>
          <w:szCs w:val="21"/>
          <w:highlight w:val="none"/>
        </w:rPr>
        <w:t>主要包括的文件及资料，见</w:t>
      </w:r>
      <w:r>
        <w:rPr>
          <w:rFonts w:hint="eastAsia" w:ascii="宋体" w:hAnsi="宋体" w:eastAsia="宋体" w:cs="宋体"/>
          <w:b/>
          <w:color w:val="auto"/>
          <w:sz w:val="21"/>
          <w:szCs w:val="21"/>
          <w:highlight w:val="none"/>
        </w:rPr>
        <w:t>供应商须知前附表。</w:t>
      </w:r>
    </w:p>
    <w:p>
      <w:pPr>
        <w:pageBreakBefore w:val="0"/>
        <w:kinsoku/>
        <w:wordWrap/>
        <w:overflowPunct w:val="0"/>
        <w:autoSpaceDE w:val="0"/>
        <w:autoSpaceDN w:val="0"/>
        <w:bidi w:val="0"/>
        <w:adjustRightInd w:val="0"/>
        <w:snapToGrid w:val="0"/>
        <w:spacing w:after="0" w:line="360" w:lineRule="auto"/>
        <w:ind w:firstLine="426" w:firstLineChars="203"/>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 证明资料如标明有效期的，必须在有效期内。</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9.报价要求</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 除采购文件另有规定外，应以人民币报价，线上采购项目还须按照投标工具的流程和提示编制并上传磋商报价表。</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 本项目不接受任何形式的赠送、“零”报价和折扣报价。</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 本项目以磋商总报价为依据计算价格分。磋商总报价应包括采购文件中要求供应商承担所有工作内容的全部费用。</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 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响应处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 最低报价不能作为成交的保证。</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 供应商的报价不得超过采购项目预算。</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10.响应文件的书写、密封、签署、盖章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10.1书写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10.1.1响应文件应使用不能擦去的墨料或墨水打印、书写。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10.1.2响应文件内容应没有涂改或行间插字。若有前述改动，在改动处应由单位负责人（授权代表）签字确认或加盖供应商的单位公章或校正章。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10.2密封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10.2.1响应文件应胶装或装订成册，避免材料散装、脱落。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10.2.2响应文件应使用不透明的牛皮纸或档案袋等材料密封包装，并在外包装封面注明“正本”或“副本”，以及项目编号、项目名称、开标时间等信息，避免响应文件被误拆或提前拆封。响应文件正本应按上述要求制作。副本可按上述要求制作，也可用正本的完整复印件，并与正本保持一致（若不一致，以正本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10.3签署、盖章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10.3.1响应文件中要求签字处应由供应商的单位负责人（授权代表）签字或加盖个人印章。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10.3.2响应文件必须按照采购文件给出文件格式的签署要求进行签署。</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10.3.3供应商在</w:t>
      </w:r>
      <w:r>
        <w:rPr>
          <w:rFonts w:hint="eastAsia" w:ascii="宋体" w:hAnsi="宋体" w:eastAsia="宋体" w:cs="宋体"/>
          <w:b/>
          <w:bCs/>
          <w:color w:val="auto"/>
          <w:sz w:val="21"/>
          <w:szCs w:val="21"/>
          <w:highlight w:val="none"/>
        </w:rPr>
        <w:t>“磋商响应函”“法定代表人授权委托书”</w:t>
      </w:r>
      <w:r>
        <w:rPr>
          <w:rFonts w:hint="eastAsia" w:ascii="宋体" w:hAnsi="宋体" w:eastAsia="宋体" w:cs="宋体"/>
          <w:color w:val="auto"/>
          <w:sz w:val="21"/>
          <w:szCs w:val="21"/>
          <w:highlight w:val="none"/>
        </w:rPr>
        <w:t>上应当按格式要求加盖与供应商名称全称一致的标准公章，并按照采购文件第五章响应文件格式中的相应格式文件要求签署全名或加盖名章。</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10.3.4响应文件中的“盖章”指加盖供应商的“公章”，而非“合同专用章”、“投标专用章”等其他非公章。</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10.3.5</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线上采购项目可以使用电子签章。</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响应有效期</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响应有效期见</w:t>
      </w:r>
      <w:r>
        <w:rPr>
          <w:rFonts w:hint="eastAsia" w:ascii="宋体" w:hAnsi="宋体" w:eastAsia="宋体" w:cs="宋体"/>
          <w:b/>
          <w:color w:val="auto"/>
          <w:sz w:val="21"/>
          <w:szCs w:val="21"/>
          <w:highlight w:val="none"/>
        </w:rPr>
        <w:t>供应商须知前附表</w:t>
      </w:r>
      <w:r>
        <w:rPr>
          <w:rFonts w:hint="eastAsia" w:ascii="宋体" w:hAnsi="宋体" w:eastAsia="宋体" w:cs="宋体"/>
          <w:color w:val="auto"/>
          <w:sz w:val="21"/>
          <w:szCs w:val="21"/>
          <w:highlight w:val="none"/>
        </w:rPr>
        <w:t>，在此期间，响应文件对供应商具有法律约束力，以保证采购人或者采购代理机构有足够的时间完成磋商、评审、定标以及签订合同。响应文件中承诺的响应有效期应当不少于采购文件中载明的响应有效期，否则作为无效响应处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特殊情况下，在原响应有效期期满之前，采购人或者采购代理机构可征得供应商同意延长响应有效期。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eastAsia="宋体" w:cs="宋体"/>
          <w:color w:val="auto"/>
          <w:highlight w:val="none"/>
        </w:rPr>
      </w:pPr>
      <w:bookmarkStart w:id="27" w:name="_Toc14643"/>
      <w:bookmarkStart w:id="28" w:name="_Toc132880661"/>
      <w:r>
        <w:rPr>
          <w:rFonts w:hint="eastAsia" w:ascii="宋体" w:hAnsi="宋体" w:eastAsia="宋体" w:cs="宋体"/>
          <w:color w:val="auto"/>
          <w:highlight w:val="none"/>
        </w:rPr>
        <w:t>四、响应文件递交</w:t>
      </w:r>
      <w:bookmarkEnd w:id="27"/>
      <w:bookmarkEnd w:id="28"/>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响应文件递交</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供应商应当在</w:t>
      </w:r>
      <w:r>
        <w:rPr>
          <w:rFonts w:hint="eastAsia" w:ascii="宋体" w:hAnsi="宋体" w:eastAsia="宋体" w:cs="宋体"/>
          <w:b/>
          <w:color w:val="auto"/>
          <w:sz w:val="21"/>
          <w:szCs w:val="21"/>
          <w:highlight w:val="none"/>
        </w:rPr>
        <w:t>供应商须知前附表</w:t>
      </w:r>
      <w:r>
        <w:rPr>
          <w:rFonts w:hint="eastAsia" w:ascii="宋体" w:hAnsi="宋体" w:eastAsia="宋体" w:cs="宋体"/>
          <w:color w:val="auto"/>
          <w:sz w:val="21"/>
          <w:szCs w:val="21"/>
          <w:highlight w:val="none"/>
        </w:rPr>
        <w:t>要求提交响应文件截止时间前，根据《供应商须知前附表》载明方式提交响应文件。提交响应文件截止时间后，提交响应文件的将被拒绝。</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线上采购项目应登录评审管理系统并使用投标工具加密上传响应文件。除上述方式之外，不接受供应商以纸质文件以及其他任何方式提交的响应文件。供应商应充分考虑网络传输时间等因素，合理安排上传时间。提交响应文件截止时间后，评审管理系统不提供响应文件上传功能。供应商未完成响应文件上传的，磋商响应将被拒绝。</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响应文件补充、修改或撤回</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供应商在提交响应文件截止时间前，可以对所提交的响应文件进行补充、修改或者撤回，并书面通知采购人、采购代理机构。补充、修改的内容应当按照采购文件要求签署、盖章、密封后，作为响应文件的组成部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 线上采购项目，供应商在提交响应文件截止时间前，可以登录评审管理系统对所提交的响应文件进行撤回、补充、修改、重新提交。补充、修改的内容应当按照采购文件要求签署、盖章。</w:t>
      </w:r>
    </w:p>
    <w:p>
      <w:pPr>
        <w:pageBreakBefore w:val="0"/>
        <w:widowControl/>
        <w:kinsoku/>
        <w:wordWrap/>
        <w:topLinePunct/>
        <w:autoSpaceDE w:val="0"/>
        <w:autoSpaceDN w:val="0"/>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提交响应文件截止时间后，不支持对已提交的响应文件作任何补充、修改或者撤回。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eastAsia="宋体" w:cs="宋体"/>
          <w:color w:val="auto"/>
          <w:highlight w:val="none"/>
        </w:rPr>
      </w:pPr>
      <w:bookmarkStart w:id="29" w:name="_Toc132880662"/>
      <w:bookmarkStart w:id="30" w:name="_Toc13146"/>
      <w:r>
        <w:rPr>
          <w:rFonts w:hint="eastAsia" w:ascii="宋体" w:hAnsi="宋体" w:eastAsia="宋体" w:cs="宋体"/>
          <w:color w:val="auto"/>
          <w:highlight w:val="none"/>
        </w:rPr>
        <w:t>五、磋商与评审</w:t>
      </w:r>
      <w:bookmarkEnd w:id="29"/>
      <w:bookmarkEnd w:id="30"/>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14.磋商小组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14.1 磋商与评审由依法组建的磋商小组负责，磋商小组由采购人代表和评审专家组成。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14.2 评审专家应当遵守评审工作纪律，不得泄露评审情况和评审中获悉的商业秘密。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14.3 磋商小组成员应当按照客观、公正、审慎的原则，根据磋商文件规定的评审程序、评审方法和评审标准进行独立评审。</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15.初步审查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15.1 磋商小组应当对供应商提交的首次响应文件进行初步审查，包括响应文件的有效性、完整性、符合性。除可变动的技术、服务要求以及合同草案条款外，首次提交的响应文件有下列情况之一，其响应文件无效，磋商小组应当告知有关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(1)供应商未按照磋商文件规定提交磋商保证金的；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(2)未按照磋商文件规定要求密封、签署、盖章的；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(3)响应有效期不足的；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(4)供应商不满足磋商文件供应商资格条件或未按照磋商文件规定提供资格证明材料的；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(5)响应文件不满足磋商文件实质性条款的。响应文件是否实质性响应磋商文件，由磋商小组依据磋商文件规定、供应商响应文件及磋商情况认定；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(6)供应商存在失信记录的：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失信记录是指，通过“信用中国”网站(www.creditchina.gov.cn)、中国政府采购网(www.ccgp.gov.cn)查询相关主体信用记录，列入失信被执行人、重大税收违法案件当事人名单、政府采购严重违法失信行为记录名单及其他不符合《政府采购法》第二十二条规定条件的情况。失信情况查询详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(7)其他不符合法律、规章、规范性文件和磋商文件规定的。</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16.澄清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16.1 磋商小组在对响应文件(包括首次响应文件、重新提交的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16.2 供应商的澄清、说明或者更正应当采用书面形式，由其法定代表人或其授权代表签字，供应商的澄清、说明或者更正不得超出磋商文件的范围或者改变响应文件的实质性内容。（线上采购项目的通过评审管理系统上传加盖电子公章的扫描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16.3关于响应描述（即响应文件中描述的内容）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（1）响应描述前后不一致且不涉及证明材料的：按照本节第16.1条、16.2条规定执行。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（2）响应描述与证明材料不一致或多份证明材料之间不一致的：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①磋商小组将要求供应商进行书面澄清，无法澄清的将按照不利于供应商的内容进行评审。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②供应商按照要求进行澄清的，采购人以澄清内容为准进行验收；供应商未按照要求进行澄清的，采购人以响应描述或证明材料中有利于采购人的内容进行验收。供应商应对证明材料的真实性、有效性承担责任。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若成交供应商的响应描述存在前后不一致、与证明材料不一致或多份证明材料之间不一致情形之一但在磋商中未能发现，则采购人将以响应描述或证明材料中有利于采购人的内容进行验收，成交供应商应自行承担由此产生的风险及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16.4 除磋商小组要求供应商做出的澄清、说明或者补正以外，磋商小组不接受供应商的任何询问、说明、更改及文件。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16.5 供应商的澄清必须在规定的时间内提交。</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17.磋商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　初审结束后，磋商小组所有成员集中与单一供应商分别进行磋商，并给予所有参加磋商的供应商平等的磋商机会。供应商应派其法定代表人或授权代表参加磋商。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磋商过程中，磋商小组可以根据磋商文件和磋商情况实质性变动采购需求中的技术、服务要求以及合同草案条款，但不得变动磋商文件中的其他内容。实质性变动的内容，须经采购人代表确认。</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　对磋商文件作出的实质性变动是磋商文件的有效组成部分，磋商小组应当及时以书面形式同时通知所有参加磋商的供应商。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　磋商文件不能详细列明采购标的技术、服务要求，需经磋商由供应商提供最终设计方案或解决方案的，磋商结束后，磋商小组应当按照少数服从多数的原则投票推荐3家以上供应商的设计方案或者解决方案。</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　磋商小组应当根据实际情况与供应商进行磋商，并确定磋商的轮次。</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17.7　已提交响应文件的供应商，在提交最后报价之前，可以根据磋商情况退出磋商。采购人或采购代理机构应当退还退出磋商的供应商的磋商保证金。</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17.8　磋商结束后，供应商按照磋商小组要求重新提交的响应文件，不满足磋商文件及变动后的技术、服务要求以及合同草案条款的实质性要求的，将视为无效响应文件。</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18.最后报价</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　磋商结束后，磋商小组应当要求所有实质性响应的供应商在规定时间内提交最后报价，提交最后报价的供应商不得少于3家。（符合</w:t>
      </w:r>
      <w:r>
        <w:rPr>
          <w:rFonts w:hint="eastAsia" w:ascii="宋体" w:hAnsi="宋体" w:eastAsia="宋体" w:cs="宋体"/>
          <w:b/>
          <w:color w:val="auto"/>
          <w:sz w:val="21"/>
          <w:szCs w:val="21"/>
          <w:highlight w:val="none"/>
        </w:rPr>
        <w:t>供应商须知前附表</w:t>
      </w:r>
      <w:r>
        <w:rPr>
          <w:rFonts w:hint="eastAsia" w:ascii="宋体" w:hAnsi="宋体" w:eastAsia="宋体" w:cs="宋体"/>
          <w:color w:val="auto"/>
          <w:sz w:val="21"/>
          <w:szCs w:val="21"/>
          <w:highlight w:val="none"/>
        </w:rPr>
        <w:t>规定的允许符合要求的供应商只有2家时可以继续进行采购活动的情形，提交最后报价的供应商可以为2家）。</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　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　最后报价是供应商响应文件的有效组成部分。如磋商小组没有对磋商文件作实质性变动或增加新的需求，最后报价不得高于首轮报价。</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19.最后报价评审</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最后报价计算错误修正的原则</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(1)最后报价的大写金额和小写金额不一致的，以大写金额为准。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(2)总价金额与按分项报价汇总金额不一致的，以分项报价金额计算结果为准。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(3)分项报价金额小数点有明显错位的，应以总价为准，并修改分项报价。</w:t>
      </w:r>
    </w:p>
    <w:p>
      <w:pPr>
        <w:pageBreakBefore w:val="0"/>
        <w:kinsoku/>
        <w:wordWrap/>
        <w:overflowPunct w:val="0"/>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(4)同时出现两种以上不一致的，按照前款规定的顺序修正。 </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(5)如果供应商不接受对其错误的更正，其最后报价将被视为无效报价或确定为无效响应。</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最后报价的价格扣除原则</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落实政府采购政策进行价格调整的规则详见第三章第2.3条。</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　磋商报价得分：以供应商的最后报价作为价格评分依据。供应商的评审价为按上述条款修正并给予价格扣除优惠后的价格。</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价格评分统一采用低价优先法计算，即满足磋商文件要求且价格最低的评审价为评审基准价，其价格分为满分。其他供应商的价格分统一按照下列公式计算：</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磋商报价得分=（磋商基准价/最后磋商报价）×价格满分值</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20.综合评审</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　经磋商确定最终采购需求和提交最后报价的供应商后，由磋商小组采用综合评分法对提交最后报价的供应商的响应文件和最后报价进行综合评分。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　评审办法及标准见第三章。</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　评审时，磋商小组成员应当独立对每个有效响应的文件进行评价、打分，然后汇总每个供应商每项评分因素的得分。</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21.提出成交供应商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磋商小组应当按照综合评分由高到低的顺序提出3名以上成交候选供应商，并编写评审报告。（符合</w:t>
      </w:r>
      <w:r>
        <w:rPr>
          <w:rFonts w:hint="eastAsia" w:ascii="宋体" w:hAnsi="宋体" w:eastAsia="宋体" w:cs="宋体"/>
          <w:b/>
          <w:color w:val="auto"/>
          <w:sz w:val="21"/>
          <w:szCs w:val="21"/>
          <w:highlight w:val="none"/>
        </w:rPr>
        <w:t>供应商须知前附表</w:t>
      </w:r>
      <w:r>
        <w:rPr>
          <w:rFonts w:hint="eastAsia" w:ascii="宋体" w:hAnsi="宋体" w:eastAsia="宋体" w:cs="宋体"/>
          <w:color w:val="auto"/>
          <w:sz w:val="21"/>
          <w:szCs w:val="21"/>
          <w:highlight w:val="none"/>
        </w:rPr>
        <w:t>规定的允许符合要求的供应商只有2家时可以继续进行采购活动的情形，推荐的成交候选供应商可以为2家）</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　</w:t>
      </w:r>
      <w:r>
        <w:rPr>
          <w:rFonts w:hint="eastAsia" w:ascii="宋体" w:hAnsi="宋体" w:eastAsia="宋体" w:cs="宋体"/>
          <w:color w:val="auto"/>
          <w:sz w:val="21"/>
          <w:szCs w:val="21"/>
          <w:highlight w:val="none"/>
          <w:u w:val="single"/>
        </w:rPr>
        <w:t>评审得分相同的，按照最后报价由低到高的顺序推荐。评审得分且最后报价相同的，按照技术指标优劣顺序推荐</w:t>
      </w:r>
      <w:r>
        <w:rPr>
          <w:rFonts w:hint="eastAsia" w:ascii="宋体" w:hAnsi="宋体" w:eastAsia="宋体" w:cs="宋体"/>
          <w:color w:val="auto"/>
          <w:sz w:val="21"/>
          <w:szCs w:val="21"/>
          <w:highlight w:val="none"/>
        </w:rPr>
        <w:t>。</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22.磋商终止</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　出现下列情形之一的，采购人或者采购代理机构应当终止竞争性磋商采购活动，在财政部指定的媒体上发布项目终止公告并说明原因，重新开展采购活动：</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(1)因情况变化，不再符合规定的竞争性磋商采购方式适用情形的；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(2)出现影响采购公正的违法、违规行为的；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(3)在采购过程中符合竞争要求的供应商或者报价未超过采购预算的供应商不足3家的，或者提交最后报价的供应商少于3家的；（符合</w:t>
      </w:r>
      <w:r>
        <w:rPr>
          <w:rFonts w:hint="eastAsia" w:ascii="宋体" w:hAnsi="宋体" w:eastAsia="宋体" w:cs="宋体"/>
          <w:b/>
          <w:color w:val="auto"/>
          <w:sz w:val="21"/>
          <w:szCs w:val="21"/>
          <w:highlight w:val="none"/>
        </w:rPr>
        <w:t>供应商须知前附表</w:t>
      </w:r>
      <w:r>
        <w:rPr>
          <w:rFonts w:hint="eastAsia" w:ascii="宋体" w:hAnsi="宋体" w:eastAsia="宋体" w:cs="宋体"/>
          <w:color w:val="auto"/>
          <w:sz w:val="21"/>
          <w:szCs w:val="21"/>
          <w:highlight w:val="none"/>
        </w:rPr>
        <w:t xml:space="preserve">规定的允许符合要求的供应商只有2家时可以继续进行采购活动的情形，符合竞争要求的供应商或者报价未超过采购预算的供应商或者提交最后报价的供应商不足2家的；） </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(4)因重大变故，采购任务取消的。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eastAsia="宋体" w:cs="宋体"/>
          <w:color w:val="auto"/>
          <w:highlight w:val="none"/>
        </w:rPr>
      </w:pPr>
      <w:bookmarkStart w:id="31" w:name="_Toc2881"/>
      <w:bookmarkStart w:id="32" w:name="_Toc132880663"/>
      <w:r>
        <w:rPr>
          <w:rFonts w:hint="eastAsia" w:ascii="宋体" w:hAnsi="宋体" w:eastAsia="宋体" w:cs="宋体"/>
          <w:color w:val="auto"/>
          <w:highlight w:val="none"/>
        </w:rPr>
        <w:t>六、成交和合同</w:t>
      </w:r>
      <w:bookmarkEnd w:id="31"/>
      <w:bookmarkEnd w:id="32"/>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成交</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23.1采购代理机构应当在评审结束后2个工作日内将评审报告送采购人确认。</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 采购人或者采购代理机构应当在成交供应商确定后2个工作日内，在</w:t>
      </w:r>
      <w:r>
        <w:rPr>
          <w:rFonts w:hint="eastAsia" w:ascii="宋体" w:hAnsi="宋体" w:eastAsia="宋体" w:cs="宋体"/>
          <w:b/>
          <w:color w:val="auto"/>
          <w:sz w:val="21"/>
          <w:szCs w:val="21"/>
          <w:highlight w:val="none"/>
        </w:rPr>
        <w:t>供应商须知前附表</w:t>
      </w:r>
      <w:r>
        <w:rPr>
          <w:rFonts w:hint="eastAsia" w:ascii="宋体" w:hAnsi="宋体" w:eastAsia="宋体" w:cs="宋体"/>
          <w:color w:val="auto"/>
          <w:sz w:val="21"/>
          <w:szCs w:val="21"/>
          <w:highlight w:val="none"/>
        </w:rPr>
        <w:t>规定的媒体上公告成交结果，并将磋商文件随成交结果同时公告。</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23.4 在公告成交结果的同时，采购人或者采购代理机构应当向成交供应商发出成交通知书（对线上采购项目，通过评审管理系统发出成交通知书）。</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23.5 成交通知书对采购人和成交供应商具有同等法律效力。</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签订合同</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 采购人与成交供应商应当在成交通知书发出之日起30日内，按照磋商文件确定的合同文本以及采购标的、规格型号、采购金额、采购数量、技术和服务要求等事项签订采购合同。</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24.4 成交供应商拒绝签订采购合同的，采购人可以按照本章第23.2条规定的原则确定其他供应商作为成交供应商并签订采购合同，也可以重新开展采购活动。拒绝签订采购合同的成交供应商不得参加对该项目重新开展的采购活动。</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履约保证金</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25.1成交供应商按照</w:t>
      </w:r>
      <w:r>
        <w:rPr>
          <w:rFonts w:hint="eastAsia" w:ascii="宋体" w:hAnsi="宋体" w:eastAsia="宋体" w:cs="宋体"/>
          <w:b/>
          <w:color w:val="auto"/>
          <w:sz w:val="21"/>
          <w:szCs w:val="21"/>
          <w:highlight w:val="none"/>
        </w:rPr>
        <w:t>供应商须知前附表</w:t>
      </w:r>
      <w:r>
        <w:rPr>
          <w:rFonts w:hint="eastAsia" w:ascii="宋体" w:hAnsi="宋体" w:eastAsia="宋体" w:cs="宋体"/>
          <w:color w:val="auto"/>
          <w:sz w:val="21"/>
          <w:szCs w:val="21"/>
          <w:highlight w:val="none"/>
        </w:rPr>
        <w:t>的规定，在签订采购合同前，向采购人提交履约保证金。联合体成交的，履约保证金以联合体各方或联合体中牵头人的名义提交。</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25.2成交供应商没有按照</w:t>
      </w:r>
      <w:r>
        <w:rPr>
          <w:rFonts w:hint="eastAsia" w:ascii="宋体" w:hAnsi="宋体" w:eastAsia="宋体" w:cs="宋体"/>
          <w:b/>
          <w:color w:val="auto"/>
          <w:sz w:val="21"/>
          <w:szCs w:val="21"/>
          <w:highlight w:val="none"/>
        </w:rPr>
        <w:t>供应商须知前附表</w:t>
      </w:r>
      <w:r>
        <w:rPr>
          <w:rFonts w:hint="eastAsia" w:ascii="宋体" w:hAnsi="宋体" w:eastAsia="宋体" w:cs="宋体"/>
          <w:color w:val="auto"/>
          <w:sz w:val="21"/>
          <w:szCs w:val="21"/>
          <w:highlight w:val="none"/>
        </w:rPr>
        <w:t>的规定提交履约保证金的，视为放弃成交资格，其磋商保证金不予退还。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eastAsia="宋体" w:cs="宋体"/>
          <w:color w:val="auto"/>
          <w:highlight w:val="none"/>
        </w:rPr>
      </w:pPr>
      <w:bookmarkStart w:id="33" w:name="_Toc132880664"/>
      <w:bookmarkStart w:id="34" w:name="_Toc3623"/>
      <w:r>
        <w:rPr>
          <w:rFonts w:hint="eastAsia" w:ascii="宋体" w:hAnsi="宋体" w:eastAsia="宋体" w:cs="宋体"/>
          <w:color w:val="auto"/>
          <w:highlight w:val="none"/>
        </w:rPr>
        <w:t>七、询问和质疑</w:t>
      </w:r>
      <w:bookmarkEnd w:id="33"/>
      <w:bookmarkEnd w:id="34"/>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26. 询问</w:t>
      </w:r>
    </w:p>
    <w:p>
      <w:pPr>
        <w:pageBreakBefore w:val="0"/>
        <w:kinsoku/>
        <w:wordWrap/>
        <w:topLinePunct/>
        <w:autoSpaceDE w:val="0"/>
        <w:autoSpaceDN w:val="0"/>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26.1潜在供应商、供应商对采购活动事项有疑问的，可以向采购人或者采购代理机构提出询问，采购人或者采购代理机构应当在3个工作日内对依法提出的询问作出答复，但答复的内容不得涉及商业秘密。</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27</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质疑</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潜在供应商、供应商（统称质疑人）认为采购文件、采购过程和成交结果使自己的权益受到损害的，可以在知道或者应知其权益受到损害之日起7个工作日内以书面形式向采购人或者采购代理机构提出质疑（线上采购项目可以通过评审管理系统提交）。联系部门、联系电话、通讯地址、电子邮箱</w:t>
      </w:r>
      <w:r>
        <w:rPr>
          <w:rFonts w:hint="eastAsia" w:ascii="宋体" w:hAnsi="宋体" w:eastAsia="宋体" w:cs="宋体"/>
          <w:b/>
          <w:bCs/>
          <w:color w:val="auto"/>
          <w:sz w:val="21"/>
          <w:szCs w:val="21"/>
          <w:highlight w:val="none"/>
        </w:rPr>
        <w:t>见</w:t>
      </w:r>
      <w:r>
        <w:rPr>
          <w:rFonts w:hint="eastAsia" w:ascii="宋体" w:hAnsi="宋体" w:eastAsia="宋体" w:cs="宋体"/>
          <w:b/>
          <w:color w:val="auto"/>
          <w:sz w:val="21"/>
          <w:szCs w:val="21"/>
          <w:highlight w:val="none"/>
        </w:rPr>
        <w:t>供应商须知前附表</w:t>
      </w:r>
      <w:r>
        <w:rPr>
          <w:rFonts w:hint="eastAsia" w:ascii="宋体" w:hAnsi="宋体" w:eastAsia="宋体" w:cs="宋体"/>
          <w:color w:val="auto"/>
          <w:sz w:val="21"/>
          <w:szCs w:val="21"/>
          <w:highlight w:val="none"/>
        </w:rPr>
        <w:t>。</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27.2在法定质疑期内，针对同一采购程序环节的质疑应一次性提出。</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27.3质疑人应知其权益受到损害之日，是指： </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（1）对可以质疑的采购文件提出质疑的，为收到采购文件之日或者采购文件公告期限届满之日；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（2）对采购过程提出质疑的，为各采购程序环节结束之日；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（3）对成交结果提出质疑的，为成交结果公告期限届满之日。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27.4质疑应当有明确的请求和必要的证明材料。供应商为自然人的，应当由本人签字；供应商为法人或者其他组织的，应当由法定代表人、主要负责人，或者其授权代表签字或者签章，并加盖公章。</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27.5 采购人或者代理机构应当在收到供应商的质疑函后7个工作日内，对质疑内容作出答复，</w:t>
      </w:r>
      <w:r>
        <w:rPr>
          <w:rFonts w:hint="eastAsia" w:ascii="宋体" w:hAnsi="宋体" w:eastAsia="宋体" w:cs="宋体"/>
          <w:bCs/>
          <w:color w:val="auto"/>
          <w:sz w:val="21"/>
          <w:szCs w:val="21"/>
          <w:highlight w:val="none"/>
        </w:rPr>
        <w:t>书面形式</w:t>
      </w:r>
      <w:r>
        <w:rPr>
          <w:rFonts w:hint="eastAsia" w:ascii="宋体" w:hAnsi="宋体" w:eastAsia="宋体" w:cs="宋体"/>
          <w:color w:val="auto"/>
          <w:sz w:val="21"/>
          <w:szCs w:val="21"/>
          <w:highlight w:val="none"/>
        </w:rPr>
        <w:t>通知质疑供应商和其他有关供应商，但答复内容不得涉及商业秘密。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27.6质疑人对采购人、采购代理机构的答复不满意或者采购人、采购代理机构未在规定的时间内作出答复的，可以在答复期满后15个工作日内向同级人民政府财政部门投诉。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27.7投诉应当有明确的请求和必要的证明材料。投诉的事项不得超出已质疑事项的范围。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eastAsia="宋体" w:cs="宋体"/>
          <w:color w:val="auto"/>
          <w:highlight w:val="none"/>
        </w:rPr>
      </w:pPr>
      <w:bookmarkStart w:id="35" w:name="_Toc132880665"/>
      <w:bookmarkStart w:id="36" w:name="_Toc3214"/>
      <w:r>
        <w:rPr>
          <w:rFonts w:hint="eastAsia" w:ascii="宋体" w:hAnsi="宋体" w:eastAsia="宋体" w:cs="宋体"/>
          <w:color w:val="auto"/>
          <w:highlight w:val="none"/>
        </w:rPr>
        <w:t>八、其他</w:t>
      </w:r>
      <w:bookmarkEnd w:id="35"/>
      <w:bookmarkEnd w:id="36"/>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28</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保密</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28.1采购人、采购代理机构应当按照采购法和本办法的规定组织开展磋商，并采取必要措施，保证磋商在严格保密的情况下进行。任何单位和个人不得非法干预、影响磋商过程和结果。</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28.2 磋商小组成员和参与评审工作的有关人员对评审情况以及在评审过程中获悉的国家秘密、商业秘密负有保密责任。</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29. 知识产权与规避专利、版权纠纷</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 知识产权</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29.1.1 项目系统的版权属于采购人所有，成交供应商应向采购人开放并提供涉及本项目软件开发、升级完善、运行维护等工作的全部源代码（含保证期内的后续升级版本）。由本项目系统形成的技术和成果的专利申请权、专利权、技术秘密的所有权、使用权、转让权等知识产权归采购人所有。</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 规避专利、版权纠纷</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29.2.1 供应商应保证其响应方案中的有关软件、文件、图纸等没有违反有关专利和版权等知识产权的规定。</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29.2.2 成交供应商应保证采购人在中华人民共和国使用本项目成果任何一部分、或接受乙方服务时，免受第三方提出的侵犯其专利权、商标权或工业设计权等知识产权的索赔或起诉。</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29.2.3 如果采购人在使用本项目任何一部分时被任何第三方诉称侵犯了第三方知识产权或任何其它权利，成交供应商应负责处理这一指控并应以成交供应商的名义自负费用向起诉方提出抗辩。由此可能产生的一切法律责任和经济责任均由成交供应商承担。</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29.2.4 如果采购人发现任何第三方在采购人未被许可的范围内非法使用采购人获得的知识产权，采购人应通知成交供应商。成交供应商应在收到采购人通知后14天内采取行动制止非法使用行为，否则由成交供应商承担相应的责任。</w:t>
      </w:r>
    </w:p>
    <w:p>
      <w:pPr>
        <w:pageBreakBefore w:val="0"/>
        <w:kinsoku/>
        <w:wordWrap/>
        <w:bidi w:val="0"/>
        <w:spacing w:line="360" w:lineRule="auto"/>
        <w:textAlignment w:val="auto"/>
        <w:rPr>
          <w:rFonts w:hint="eastAsia" w:ascii="宋体" w:hAnsi="宋体" w:eastAsia="宋体" w:cs="宋体"/>
          <w:color w:val="auto"/>
          <w:sz w:val="21"/>
          <w:szCs w:val="21"/>
          <w:highlight w:val="none"/>
        </w:rPr>
        <w:sectPr>
          <w:pgSz w:w="11906" w:h="16838"/>
          <w:pgMar w:top="1440" w:right="1752" w:bottom="1440" w:left="1752" w:header="851" w:footer="992" w:gutter="0"/>
          <w:pgNumType w:fmt="decimal"/>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color w:val="auto"/>
          <w:sz w:val="28"/>
          <w:szCs w:val="28"/>
          <w:highlight w:val="none"/>
        </w:rPr>
      </w:pPr>
      <w:bookmarkStart w:id="37" w:name="_Toc18238"/>
      <w:bookmarkStart w:id="38" w:name="_Toc132880666"/>
      <w:r>
        <w:rPr>
          <w:rFonts w:hint="eastAsia" w:ascii="宋体" w:hAnsi="宋体" w:eastAsia="宋体" w:cs="宋体"/>
          <w:b/>
          <w:bCs/>
          <w:color w:val="auto"/>
          <w:sz w:val="28"/>
          <w:szCs w:val="28"/>
          <w:highlight w:val="none"/>
        </w:rPr>
        <w:t>第三章  评审方法及标准</w:t>
      </w:r>
      <w:bookmarkEnd w:id="37"/>
      <w:bookmarkEnd w:id="38"/>
    </w:p>
    <w:p>
      <w:pPr>
        <w:topLinePunct/>
        <w:autoSpaceDE w:val="0"/>
        <w:autoSpaceDN w:val="0"/>
        <w:adjustRightInd w:val="0"/>
        <w:snapToGrid w:val="0"/>
        <w:spacing w:after="0"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1.评审方法</w:t>
      </w:r>
    </w:p>
    <w:p>
      <w:pPr>
        <w:widowControl/>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本项目评审方法：</w:t>
      </w:r>
      <w:r>
        <w:rPr>
          <w:rFonts w:hint="eastAsia" w:ascii="宋体" w:hAnsi="宋体" w:eastAsia="宋体" w:cs="宋体"/>
          <w:b/>
          <w:color w:val="auto"/>
          <w:sz w:val="21"/>
          <w:szCs w:val="21"/>
          <w:highlight w:val="none"/>
          <w:u w:val="single"/>
        </w:rPr>
        <w:t>采用综合评分法</w:t>
      </w:r>
    </w:p>
    <w:p>
      <w:pPr>
        <w:topLinePunct/>
        <w:autoSpaceDE w:val="0"/>
        <w:autoSpaceDN w:val="0"/>
        <w:adjustRightInd w:val="0"/>
        <w:snapToGrid w:val="0"/>
        <w:spacing w:after="0"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2.评分标准</w:t>
      </w:r>
    </w:p>
    <w:p>
      <w:pPr>
        <w:pStyle w:val="23"/>
        <w:widowControl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本项目</w:t>
      </w:r>
      <w:r>
        <w:rPr>
          <w:rFonts w:hint="eastAsia" w:ascii="宋体" w:hAnsi="宋体" w:eastAsia="宋体" w:cs="宋体"/>
          <w:b/>
          <w:color w:val="auto"/>
          <w:sz w:val="21"/>
          <w:szCs w:val="21"/>
          <w:highlight w:val="none"/>
          <w:u w:val="single"/>
        </w:rPr>
        <w:t>采用综合评分法</w:t>
      </w:r>
      <w:r>
        <w:rPr>
          <w:rFonts w:hint="eastAsia" w:ascii="宋体" w:hAnsi="宋体" w:eastAsia="宋体" w:cs="宋体"/>
          <w:color w:val="auto"/>
          <w:sz w:val="21"/>
          <w:szCs w:val="21"/>
          <w:highlight w:val="none"/>
        </w:rPr>
        <w:t>进行评分，综合评分法是指响应文件满足采购文件全部实质性要求，且按照评审因素的量化指标评审得分最高的供应商为成交候选供应商的评审方法。评审因素主要内容如下表。</w:t>
      </w:r>
    </w:p>
    <w:p>
      <w:pPr>
        <w:topLinePunct/>
        <w:autoSpaceDE w:val="0"/>
        <w:autoSpaceDN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本项目价格分值为</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rPr>
        <w:t>分，其余评审因素分值为</w:t>
      </w:r>
      <w:r>
        <w:rPr>
          <w:rFonts w:hint="eastAsia" w:ascii="宋体" w:hAnsi="宋体" w:cs="宋体"/>
          <w:color w:val="auto"/>
          <w:sz w:val="21"/>
          <w:szCs w:val="21"/>
          <w:highlight w:val="none"/>
          <w:u w:val="single"/>
          <w:lang w:val="en-US" w:eastAsia="zh-CN"/>
        </w:rPr>
        <w:t>70</w:t>
      </w:r>
      <w:r>
        <w:rPr>
          <w:rFonts w:hint="eastAsia" w:ascii="宋体" w:hAnsi="宋体" w:eastAsia="宋体" w:cs="宋体"/>
          <w:color w:val="auto"/>
          <w:sz w:val="21"/>
          <w:szCs w:val="21"/>
          <w:highlight w:val="none"/>
        </w:rPr>
        <w:t>分。评审标准如下表：</w:t>
      </w:r>
    </w:p>
    <w:tbl>
      <w:tblPr>
        <w:tblStyle w:val="16"/>
        <w:tblW w:w="876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03"/>
        <w:gridCol w:w="798"/>
        <w:gridCol w:w="1210"/>
        <w:gridCol w:w="5368"/>
        <w:gridCol w:w="8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after="0" w:line="240" w:lineRule="auto"/>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798"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after="0" w:line="240" w:lineRule="auto"/>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1210"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after="0" w:line="240" w:lineRule="auto"/>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主要内容</w:t>
            </w:r>
          </w:p>
        </w:tc>
        <w:tc>
          <w:tcPr>
            <w:tcW w:w="5368"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after="0" w:line="240" w:lineRule="auto"/>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指标要求</w:t>
            </w:r>
          </w:p>
        </w:tc>
        <w:tc>
          <w:tcPr>
            <w:tcW w:w="885"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after="0" w:line="240" w:lineRule="auto"/>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细项</w:t>
            </w:r>
          </w:p>
          <w:p>
            <w:pPr>
              <w:widowControl/>
              <w:overflowPunct w:val="0"/>
              <w:autoSpaceDE w:val="0"/>
              <w:autoSpaceDN w:val="0"/>
              <w:adjustRightInd w:val="0"/>
              <w:spacing w:after="0" w:line="240" w:lineRule="auto"/>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after="0" w:line="360" w:lineRule="auto"/>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798"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after="0" w:line="360" w:lineRule="auto"/>
              <w:jc w:val="center"/>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w:t>
            </w:r>
          </w:p>
        </w:tc>
        <w:tc>
          <w:tcPr>
            <w:tcW w:w="1210"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after="0" w:line="360" w:lineRule="auto"/>
              <w:jc w:val="center"/>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价 格</w:t>
            </w:r>
          </w:p>
        </w:tc>
        <w:tc>
          <w:tcPr>
            <w:tcW w:w="5368" w:type="dxa"/>
            <w:tcBorders>
              <w:top w:val="single" w:color="auto" w:sz="4" w:space="0"/>
              <w:left w:val="single" w:color="auto" w:sz="4" w:space="0"/>
              <w:bottom w:val="single" w:color="auto" w:sz="4" w:space="0"/>
              <w:right w:val="single" w:color="auto" w:sz="4" w:space="0"/>
            </w:tcBorders>
            <w:vAlign w:val="center"/>
          </w:tcPr>
          <w:p>
            <w:pPr>
              <w:pStyle w:val="23"/>
              <w:widowControl w:val="0"/>
              <w:spacing w:line="360" w:lineRule="auto"/>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报价得分=（评标基准价／</w:t>
            </w:r>
            <w:r>
              <w:rPr>
                <w:rFonts w:hint="eastAsia" w:ascii="宋体" w:hAnsi="宋体" w:eastAsia="宋体" w:cs="宋体"/>
                <w:color w:val="auto"/>
                <w:sz w:val="21"/>
                <w:szCs w:val="21"/>
                <w:highlight w:val="none"/>
                <w:lang w:eastAsia="zh-CN"/>
              </w:rPr>
              <w:t>最终</w:t>
            </w:r>
            <w:r>
              <w:rPr>
                <w:rFonts w:hint="eastAsia" w:ascii="宋体" w:hAnsi="宋体" w:eastAsia="宋体" w:cs="宋体"/>
                <w:color w:val="auto"/>
                <w:sz w:val="21"/>
                <w:szCs w:val="21"/>
                <w:highlight w:val="none"/>
              </w:rPr>
              <w:t>报价）×</w:t>
            </w:r>
            <w:r>
              <w:rPr>
                <w:rFonts w:hint="eastAsia" w:ascii="宋体" w:hAnsi="宋体" w:cs="宋体"/>
                <w:color w:val="auto"/>
                <w:sz w:val="21"/>
                <w:szCs w:val="21"/>
                <w:highlight w:val="none"/>
                <w:lang w:val="en-US" w:eastAsia="zh-CN"/>
              </w:rPr>
              <w:t>30</w:t>
            </w:r>
          </w:p>
          <w:p>
            <w:pPr>
              <w:pStyle w:val="23"/>
              <w:widowControl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（1）评标基准价是指满足</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文件要求且</w:t>
            </w:r>
            <w:r>
              <w:rPr>
                <w:rFonts w:hint="eastAsia" w:ascii="宋体" w:hAnsi="宋体" w:eastAsia="宋体" w:cs="宋体"/>
                <w:color w:val="auto"/>
                <w:sz w:val="21"/>
                <w:szCs w:val="21"/>
                <w:highlight w:val="none"/>
                <w:lang w:eastAsia="zh-CN"/>
              </w:rPr>
              <w:t>最终报价</w:t>
            </w:r>
            <w:r>
              <w:rPr>
                <w:rFonts w:hint="eastAsia" w:ascii="宋体" w:hAnsi="宋体" w:eastAsia="宋体" w:cs="宋体"/>
                <w:color w:val="auto"/>
                <w:sz w:val="21"/>
                <w:szCs w:val="21"/>
                <w:highlight w:val="none"/>
              </w:rPr>
              <w:t>最低的</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报价。</w:t>
            </w:r>
          </w:p>
          <w:p>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（2）因落实政府采购政策进行价格调整的，以调整后的价格计算评标基准价和</w:t>
            </w:r>
            <w:r>
              <w:rPr>
                <w:rFonts w:hint="eastAsia" w:ascii="宋体" w:hAnsi="宋体" w:eastAsia="宋体" w:cs="宋体"/>
                <w:color w:val="auto"/>
                <w:sz w:val="21"/>
                <w:szCs w:val="21"/>
                <w:highlight w:val="none"/>
                <w:lang w:eastAsia="zh-CN"/>
              </w:rPr>
              <w:t>最终</w:t>
            </w:r>
            <w:r>
              <w:rPr>
                <w:rFonts w:hint="eastAsia" w:ascii="宋体" w:hAnsi="宋体" w:eastAsia="宋体" w:cs="宋体"/>
                <w:color w:val="auto"/>
                <w:sz w:val="21"/>
                <w:szCs w:val="21"/>
                <w:highlight w:val="none"/>
              </w:rPr>
              <w:t>报价。</w:t>
            </w:r>
          </w:p>
        </w:tc>
        <w:tc>
          <w:tcPr>
            <w:tcW w:w="885"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after="0"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vMerge w:val="restart"/>
            <w:tcBorders>
              <w:top w:val="single" w:color="auto" w:sz="4" w:space="0"/>
              <w:left w:val="single" w:color="auto" w:sz="4" w:space="0"/>
              <w:right w:val="single" w:color="auto" w:sz="4" w:space="0"/>
            </w:tcBorders>
            <w:vAlign w:val="center"/>
          </w:tcPr>
          <w:p>
            <w:pPr>
              <w:widowControl/>
              <w:overflowPunct w:val="0"/>
              <w:autoSpaceDE w:val="0"/>
              <w:autoSpaceDN w:val="0"/>
              <w:adjustRightInd w:val="0"/>
              <w:spacing w:after="0" w:line="360" w:lineRule="auto"/>
              <w:jc w:val="center"/>
              <w:textAlignment w:val="baseline"/>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w:t>
            </w:r>
          </w:p>
        </w:tc>
        <w:tc>
          <w:tcPr>
            <w:tcW w:w="798" w:type="dxa"/>
            <w:vMerge w:val="restart"/>
            <w:tcBorders>
              <w:top w:val="single" w:color="auto" w:sz="4" w:space="0"/>
              <w:left w:val="single" w:color="auto" w:sz="4" w:space="0"/>
              <w:right w:val="single" w:color="auto" w:sz="4" w:space="0"/>
            </w:tcBorders>
            <w:vAlign w:val="center"/>
          </w:tcPr>
          <w:p>
            <w:pPr>
              <w:widowControl/>
              <w:overflowPunct w:val="0"/>
              <w:autoSpaceDE w:val="0"/>
              <w:autoSpaceDN w:val="0"/>
              <w:adjustRightInd w:val="0"/>
              <w:spacing w:after="0" w:line="360" w:lineRule="auto"/>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技术因素</w:t>
            </w:r>
          </w:p>
        </w:tc>
        <w:tc>
          <w:tcPr>
            <w:tcW w:w="12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项目需求理解</w:t>
            </w:r>
          </w:p>
        </w:tc>
        <w:tc>
          <w:tcPr>
            <w:tcW w:w="53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 xml:space="preserve">由磋商小组根据供应商所提供的响应文件中对项目采购需求、专业编辑驻点服务及全媒体信息推广服务的内容及理解情况等作出的描述内容进行评价，以下各项不得重复计分： </w:t>
            </w:r>
          </w:p>
          <w:p>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 xml:space="preserve">①在满足采购需求实质性要求的基础上，供应商能详细阐述 </w:t>
            </w:r>
          </w:p>
          <w:p>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 xml:space="preserve">项目工作目标、项目边界，内容全面、完整，对本项目服务需求理解思路正确的，得4分； </w:t>
            </w:r>
          </w:p>
          <w:p>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 xml:space="preserve">②在本项①的基础上，供应商对采购需求、专业编辑驻点服务及全媒体信息推广服务的内容把握及理解情况进行描述，内容完整，对服务的各项工作和要求理解正确，符合本项目采购要求，得 8 分； </w:t>
            </w:r>
          </w:p>
          <w:p>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 xml:space="preserve">③在本项②的基础上，供应商能根据项目实际要求进行详细 </w:t>
            </w:r>
          </w:p>
          <w:p>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 xml:space="preserve">的需求分析，深入阐述项目需求的，得 12 分。 </w:t>
            </w:r>
          </w:p>
          <w:p>
            <w:pPr>
              <w:keepNext w:val="0"/>
              <w:keepLines w:val="0"/>
              <w:widowControl/>
              <w:suppressLineNumbers w:val="0"/>
              <w:jc w:val="left"/>
              <w:rPr>
                <w:color w:val="auto"/>
                <w:highlight w:val="none"/>
              </w:rPr>
            </w:pPr>
            <w:r>
              <w:rPr>
                <w:rFonts w:hint="eastAsia" w:ascii="宋体" w:hAnsi="宋体" w:eastAsia="宋体" w:cs="宋体"/>
                <w:b/>
                <w:bCs/>
                <w:color w:val="auto"/>
                <w:kern w:val="0"/>
                <w:sz w:val="20"/>
                <w:szCs w:val="20"/>
                <w:highlight w:val="none"/>
                <w:lang w:val="en-US" w:eastAsia="zh-CN" w:bidi="ar"/>
              </w:rPr>
              <w:t xml:space="preserve">注：未提供项目需求理解或项目需求理解未达到①标准要求 </w:t>
            </w:r>
          </w:p>
          <w:p>
            <w:pPr>
              <w:pStyle w:val="10"/>
              <w:rPr>
                <w:rFonts w:hint="default"/>
                <w:color w:val="auto"/>
                <w:highlight w:val="none"/>
                <w:lang w:val="en-US"/>
              </w:rPr>
            </w:pPr>
            <w:r>
              <w:rPr>
                <w:rFonts w:hint="eastAsia" w:ascii="宋体" w:hAnsi="宋体" w:eastAsia="宋体" w:cs="宋体"/>
                <w:b/>
                <w:bCs/>
                <w:color w:val="auto"/>
                <w:kern w:val="0"/>
                <w:sz w:val="20"/>
                <w:szCs w:val="20"/>
                <w:highlight w:val="none"/>
                <w:lang w:val="en-US" w:eastAsia="zh-CN" w:bidi="ar"/>
              </w:rPr>
              <w:t>的，得 0 分</w:t>
            </w:r>
          </w:p>
        </w:tc>
        <w:tc>
          <w:tcPr>
            <w:tcW w:w="885"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before="0" w:beforeAutospacing="0" w:after="0" w:afterAutospacing="0" w:line="360" w:lineRule="auto"/>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03" w:type="dxa"/>
            <w:vMerge w:val="continue"/>
            <w:tcBorders>
              <w:left w:val="single" w:color="auto" w:sz="4" w:space="0"/>
              <w:right w:val="single" w:color="auto" w:sz="4" w:space="0"/>
            </w:tcBorders>
            <w:vAlign w:val="center"/>
          </w:tcPr>
          <w:p>
            <w:pPr>
              <w:widowControl/>
              <w:overflowPunct w:val="0"/>
              <w:autoSpaceDE w:val="0"/>
              <w:autoSpaceDN w:val="0"/>
              <w:adjustRightInd w:val="0"/>
              <w:spacing w:after="0" w:line="360" w:lineRule="auto"/>
              <w:jc w:val="center"/>
              <w:textAlignment w:val="baseline"/>
              <w:rPr>
                <w:rFonts w:hint="eastAsia" w:ascii="宋体" w:hAnsi="宋体" w:eastAsia="宋体" w:cs="宋体"/>
                <w:b/>
                <w:bCs/>
                <w:color w:val="auto"/>
                <w:kern w:val="0"/>
                <w:sz w:val="21"/>
                <w:szCs w:val="21"/>
                <w:highlight w:val="none"/>
                <w:lang w:val="en-US" w:eastAsia="zh-CN"/>
              </w:rPr>
            </w:pPr>
          </w:p>
        </w:tc>
        <w:tc>
          <w:tcPr>
            <w:tcW w:w="798" w:type="dxa"/>
            <w:vMerge w:val="continue"/>
            <w:tcBorders>
              <w:left w:val="single" w:color="auto" w:sz="4" w:space="0"/>
              <w:right w:val="single" w:color="auto" w:sz="4" w:space="0"/>
            </w:tcBorders>
            <w:vAlign w:val="center"/>
          </w:tcPr>
          <w:p>
            <w:pPr>
              <w:widowControl/>
              <w:overflowPunct w:val="0"/>
              <w:autoSpaceDE w:val="0"/>
              <w:autoSpaceDN w:val="0"/>
              <w:adjustRightInd w:val="0"/>
              <w:spacing w:after="0" w:line="360" w:lineRule="auto"/>
              <w:jc w:val="left"/>
              <w:textAlignment w:val="baseline"/>
              <w:rPr>
                <w:rFonts w:hint="eastAsia" w:ascii="宋体" w:hAnsi="宋体" w:eastAsia="宋体" w:cs="宋体"/>
                <w:color w:val="auto"/>
                <w:sz w:val="21"/>
                <w:szCs w:val="21"/>
                <w:highlight w:val="none"/>
                <w:lang w:val="zh-CN"/>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Cs w:val="21"/>
                <w:highlight w:val="none"/>
              </w:rPr>
              <w:t>项目实施方案分</w:t>
            </w:r>
          </w:p>
        </w:tc>
        <w:tc>
          <w:tcPr>
            <w:tcW w:w="5368"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①</w:t>
            </w:r>
            <w:r>
              <w:rPr>
                <w:rFonts w:hint="eastAsia" w:ascii="宋体" w:hAnsi="宋体" w:eastAsia="宋体" w:cs="宋体"/>
                <w:color w:val="auto"/>
                <w:szCs w:val="21"/>
                <w:highlight w:val="none"/>
                <w:lang w:val="en-US" w:eastAsia="zh-CN"/>
              </w:rPr>
              <w:t>提供简单的</w:t>
            </w:r>
            <w:r>
              <w:rPr>
                <w:rFonts w:hint="eastAsia" w:ascii="宋体" w:hAnsi="宋体" w:eastAsia="宋体" w:cs="宋体"/>
                <w:color w:val="auto"/>
                <w:szCs w:val="21"/>
                <w:highlight w:val="none"/>
                <w:lang w:eastAsia="zh-CN"/>
              </w:rPr>
              <w:t>项目实施方案，</w:t>
            </w:r>
            <w:r>
              <w:rPr>
                <w:rFonts w:hint="eastAsia" w:ascii="宋体" w:hAnsi="宋体" w:eastAsia="宋体" w:cs="宋体"/>
                <w:color w:val="auto"/>
                <w:szCs w:val="21"/>
                <w:highlight w:val="none"/>
                <w:lang w:val="en-US" w:eastAsia="zh-CN"/>
              </w:rPr>
              <w:t>简单描述项目实施进度计划</w:t>
            </w:r>
            <w:r>
              <w:rPr>
                <w:rFonts w:hint="eastAsia" w:ascii="宋体" w:hAnsi="宋体" w:cs="宋体"/>
                <w:color w:val="auto"/>
                <w:szCs w:val="21"/>
                <w:highlight w:val="none"/>
                <w:lang w:val="en-US" w:eastAsia="zh-CN"/>
              </w:rPr>
              <w:t>的，得4分</w:t>
            </w:r>
          </w:p>
          <w:p>
            <w:pPr>
              <w:spacing w:line="380" w:lineRule="exact"/>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②提供详细的</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lang w:eastAsia="zh-CN"/>
              </w:rPr>
              <w:t>实施方案，有</w:t>
            </w:r>
            <w:r>
              <w:rPr>
                <w:rFonts w:hint="eastAsia" w:ascii="宋体" w:hAnsi="宋体" w:eastAsia="宋体" w:cs="宋体"/>
                <w:color w:val="auto"/>
                <w:szCs w:val="21"/>
                <w:highlight w:val="none"/>
                <w:lang w:val="en-US" w:eastAsia="zh-CN"/>
              </w:rPr>
              <w:t>项目实施进度计划</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lang w:val="en-US" w:eastAsia="zh-CN"/>
              </w:rPr>
              <w:t>策略规划、</w:t>
            </w:r>
            <w:r>
              <w:rPr>
                <w:rFonts w:hint="eastAsia" w:ascii="宋体" w:hAnsi="宋体" w:eastAsia="宋体" w:cs="宋体"/>
                <w:color w:val="auto"/>
                <w:szCs w:val="21"/>
                <w:highlight w:val="none"/>
                <w:lang w:eastAsia="zh-CN"/>
              </w:rPr>
              <w:t>控制措施；针对本项目的工作流程</w:t>
            </w:r>
            <w:r>
              <w:rPr>
                <w:rFonts w:hint="eastAsia" w:ascii="宋体" w:hAnsi="宋体" w:eastAsia="宋体" w:cs="宋体"/>
                <w:color w:val="auto"/>
                <w:szCs w:val="21"/>
                <w:highlight w:val="none"/>
                <w:lang w:val="en-US" w:eastAsia="zh-CN"/>
              </w:rPr>
              <w:t>清晰，</w:t>
            </w:r>
            <w:r>
              <w:rPr>
                <w:rFonts w:hint="eastAsia" w:ascii="宋体" w:hAnsi="宋体" w:eastAsia="宋体" w:cs="宋体"/>
                <w:color w:val="auto"/>
                <w:szCs w:val="21"/>
                <w:highlight w:val="none"/>
                <w:lang w:eastAsia="zh-CN"/>
              </w:rPr>
              <w:t>设置岗位职责，配置有相应的实施人员</w:t>
            </w:r>
            <w:r>
              <w:rPr>
                <w:rFonts w:hint="eastAsia" w:ascii="宋体" w:hAnsi="宋体" w:eastAsia="宋体" w:cs="宋体"/>
                <w:color w:val="auto"/>
                <w:szCs w:val="21"/>
                <w:highlight w:val="none"/>
                <w:lang w:val="en-US" w:eastAsia="zh-CN"/>
              </w:rPr>
              <w:t>等内容</w:t>
            </w:r>
            <w:r>
              <w:rPr>
                <w:rFonts w:hint="eastAsia" w:ascii="宋体" w:hAnsi="宋体" w:cs="宋体"/>
                <w:color w:val="auto"/>
                <w:szCs w:val="21"/>
                <w:highlight w:val="none"/>
                <w:lang w:val="en-US" w:eastAsia="zh-CN"/>
              </w:rPr>
              <w:t>的，得8分</w:t>
            </w:r>
          </w:p>
          <w:p>
            <w:pPr>
              <w:spacing w:line="380" w:lineRule="exact"/>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③提供详细完善的</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lang w:eastAsia="zh-CN"/>
              </w:rPr>
              <w:t>实施方案，有</w:t>
            </w:r>
            <w:r>
              <w:rPr>
                <w:rFonts w:hint="eastAsia" w:ascii="宋体" w:hAnsi="宋体" w:eastAsia="宋体" w:cs="宋体"/>
                <w:color w:val="auto"/>
                <w:szCs w:val="21"/>
                <w:highlight w:val="none"/>
                <w:lang w:val="en-US" w:eastAsia="zh-CN"/>
              </w:rPr>
              <w:t>详细的项目实施进度计划</w:t>
            </w:r>
            <w:r>
              <w:rPr>
                <w:rFonts w:hint="eastAsia" w:ascii="宋体" w:hAnsi="宋体" w:eastAsia="宋体" w:cs="宋体"/>
                <w:color w:val="auto"/>
                <w:szCs w:val="21"/>
                <w:highlight w:val="none"/>
                <w:lang w:eastAsia="zh-CN"/>
              </w:rPr>
              <w:t>；针对本项目的工作流程</w:t>
            </w:r>
            <w:r>
              <w:rPr>
                <w:rFonts w:hint="eastAsia" w:ascii="宋体" w:hAnsi="宋体" w:eastAsia="宋体" w:cs="宋体"/>
                <w:color w:val="auto"/>
                <w:szCs w:val="21"/>
                <w:highlight w:val="none"/>
                <w:lang w:val="en-US" w:eastAsia="zh-CN"/>
              </w:rPr>
              <w:t>清晰，</w:t>
            </w:r>
            <w:r>
              <w:rPr>
                <w:rFonts w:hint="eastAsia" w:ascii="宋体" w:hAnsi="宋体" w:eastAsia="宋体" w:cs="宋体"/>
                <w:color w:val="auto"/>
                <w:szCs w:val="21"/>
                <w:highlight w:val="none"/>
                <w:lang w:eastAsia="zh-CN"/>
              </w:rPr>
              <w:t>设置岗位职责，配置有相应的实施人员；按照实施计划执行专业编辑驻点服务</w:t>
            </w:r>
            <w:r>
              <w:rPr>
                <w:rFonts w:hint="eastAsia" w:ascii="宋体" w:hAnsi="宋体" w:cs="宋体"/>
                <w:color w:val="auto"/>
                <w:szCs w:val="21"/>
                <w:highlight w:val="none"/>
                <w:lang w:val="en-US" w:eastAsia="zh-CN"/>
              </w:rPr>
              <w:t>及全媒体信息推广服务</w:t>
            </w:r>
            <w:r>
              <w:rPr>
                <w:rFonts w:hint="eastAsia" w:ascii="宋体" w:hAnsi="宋体" w:eastAsia="宋体" w:cs="宋体"/>
                <w:color w:val="auto"/>
                <w:szCs w:val="21"/>
                <w:highlight w:val="none"/>
                <w:lang w:eastAsia="zh-CN"/>
              </w:rPr>
              <w:t>，确保各项任务按时完成，监控</w:t>
            </w:r>
            <w:r>
              <w:rPr>
                <w:rFonts w:hint="eastAsia" w:ascii="宋体" w:hAnsi="宋体" w:cs="宋体"/>
                <w:color w:val="auto"/>
                <w:szCs w:val="21"/>
                <w:highlight w:val="none"/>
                <w:lang w:val="en-US" w:eastAsia="zh-CN"/>
              </w:rPr>
              <w:t>各项服务</w:t>
            </w:r>
            <w:r>
              <w:rPr>
                <w:rFonts w:hint="eastAsia" w:ascii="宋体" w:hAnsi="宋体" w:eastAsia="宋体" w:cs="宋体"/>
                <w:color w:val="auto"/>
                <w:szCs w:val="21"/>
                <w:highlight w:val="none"/>
                <w:lang w:eastAsia="zh-CN"/>
              </w:rPr>
              <w:t>的进展和效果，及时发现问题并调整策略，与</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lang w:eastAsia="zh-CN"/>
              </w:rPr>
              <w:t>保持密切沟通，确保信息畅通、协作顺畅</w:t>
            </w:r>
            <w:r>
              <w:rPr>
                <w:rFonts w:hint="eastAsia" w:ascii="宋体" w:hAnsi="宋体" w:cs="宋体"/>
                <w:color w:val="auto"/>
                <w:szCs w:val="21"/>
                <w:highlight w:val="none"/>
                <w:lang w:val="en-US" w:eastAsia="zh-CN"/>
              </w:rPr>
              <w:t>的，得12分。</w:t>
            </w:r>
          </w:p>
          <w:p>
            <w:pPr>
              <w:widowControl/>
              <w:overflowPunct w:val="0"/>
              <w:autoSpaceDE w:val="0"/>
              <w:autoSpaceDN w:val="0"/>
              <w:adjustRightInd w:val="0"/>
              <w:spacing w:after="0" w:line="360" w:lineRule="auto"/>
              <w:jc w:val="left"/>
              <w:textAlignment w:val="baseline"/>
              <w:rPr>
                <w:rFonts w:hint="default" w:ascii="宋体" w:hAnsi="宋体" w:eastAsia="宋体" w:cs="宋体"/>
                <w:color w:val="auto"/>
                <w:sz w:val="21"/>
                <w:szCs w:val="21"/>
                <w:highlight w:val="none"/>
                <w:lang w:val="en-US"/>
              </w:rPr>
            </w:pPr>
            <w:r>
              <w:rPr>
                <w:rFonts w:hint="eastAsia" w:ascii="宋体" w:hAnsi="宋体" w:eastAsia="宋体" w:cs="宋体"/>
                <w:color w:val="auto"/>
                <w:szCs w:val="21"/>
                <w:highlight w:val="none"/>
                <w:lang w:eastAsia="zh-CN"/>
              </w:rPr>
              <w:t>注：未提供或不满足进档要求不得分。</w:t>
            </w:r>
          </w:p>
        </w:tc>
        <w:tc>
          <w:tcPr>
            <w:tcW w:w="885"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after="0"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03" w:type="dxa"/>
            <w:vMerge w:val="continue"/>
            <w:tcBorders>
              <w:left w:val="single" w:color="auto" w:sz="4" w:space="0"/>
              <w:right w:val="single" w:color="auto" w:sz="4" w:space="0"/>
            </w:tcBorders>
            <w:vAlign w:val="center"/>
          </w:tcPr>
          <w:p>
            <w:pPr>
              <w:widowControl/>
              <w:overflowPunct w:val="0"/>
              <w:autoSpaceDE w:val="0"/>
              <w:autoSpaceDN w:val="0"/>
              <w:adjustRightInd w:val="0"/>
              <w:spacing w:after="0" w:line="360" w:lineRule="auto"/>
              <w:jc w:val="center"/>
              <w:textAlignment w:val="baseline"/>
              <w:rPr>
                <w:rFonts w:hint="eastAsia" w:ascii="宋体" w:hAnsi="宋体" w:eastAsia="宋体" w:cs="宋体"/>
                <w:color w:val="auto"/>
                <w:kern w:val="0"/>
                <w:sz w:val="21"/>
                <w:szCs w:val="21"/>
                <w:highlight w:val="none"/>
              </w:rPr>
            </w:pPr>
          </w:p>
        </w:tc>
        <w:tc>
          <w:tcPr>
            <w:tcW w:w="798" w:type="dxa"/>
            <w:vMerge w:val="continue"/>
            <w:tcBorders>
              <w:left w:val="single" w:color="auto" w:sz="4" w:space="0"/>
              <w:right w:val="single" w:color="auto" w:sz="4" w:space="0"/>
            </w:tcBorders>
            <w:vAlign w:val="center"/>
          </w:tcPr>
          <w:p>
            <w:pPr>
              <w:widowControl/>
              <w:overflowPunct w:val="0"/>
              <w:autoSpaceDE w:val="0"/>
              <w:autoSpaceDN w:val="0"/>
              <w:adjustRightInd w:val="0"/>
              <w:spacing w:after="0" w:line="360" w:lineRule="auto"/>
              <w:jc w:val="left"/>
              <w:textAlignment w:val="baseline"/>
              <w:rPr>
                <w:rFonts w:hint="eastAsia" w:ascii="宋体" w:hAnsi="宋体" w:eastAsia="宋体" w:cs="宋体"/>
                <w:color w:val="auto"/>
                <w:sz w:val="21"/>
                <w:szCs w:val="21"/>
                <w:highlight w:val="none"/>
                <w:lang w:val="zh-CN"/>
              </w:rPr>
            </w:pPr>
          </w:p>
        </w:tc>
        <w:tc>
          <w:tcPr>
            <w:tcW w:w="1210"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after="0"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 xml:space="preserve"> 售后服务分</w:t>
            </w:r>
          </w:p>
        </w:tc>
        <w:tc>
          <w:tcPr>
            <w:tcW w:w="5368"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①供应商提供了服务承诺，但承诺内容简单或缺乏对应措施</w:t>
            </w:r>
            <w:r>
              <w:rPr>
                <w:rFonts w:hint="eastAsia" w:ascii="宋体" w:hAnsi="宋体" w:eastAsia="宋体" w:cs="宋体"/>
                <w:color w:val="auto"/>
                <w:highlight w:val="none"/>
                <w:lang w:val="en-US" w:eastAsia="zh-CN"/>
              </w:rPr>
              <w:t>的，得2分</w:t>
            </w:r>
          </w:p>
          <w:p>
            <w:pPr>
              <w:pStyle w:val="11"/>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②满足①的基础上，对项目总体认识表达清晰、完整，措施具体有效；供应商服务承诺全面、可行，服务措施到位，应急措施合理</w:t>
            </w:r>
            <w:r>
              <w:rPr>
                <w:rFonts w:hint="eastAsia" w:ascii="宋体" w:hAnsi="宋体" w:eastAsia="宋体" w:cs="宋体"/>
                <w:color w:val="auto"/>
                <w:highlight w:val="none"/>
                <w:lang w:val="en-US" w:eastAsia="zh-CN"/>
              </w:rPr>
              <w:t>的，得4分</w:t>
            </w:r>
          </w:p>
          <w:p>
            <w:pPr>
              <w:pStyle w:val="11"/>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③满足②的基础上，对项目总体认识深刻，表达清晰、完整、严谨、合理，措施先进、成熟。供应商服务承诺详细、具体，切合项目需求；具有一定技术专业能力，能很好地为采购单位服务的</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得6分</w:t>
            </w:r>
          </w:p>
          <w:p>
            <w:pPr>
              <w:widowControl/>
              <w:overflowPunct w:val="0"/>
              <w:autoSpaceDE w:val="0"/>
              <w:autoSpaceDN w:val="0"/>
              <w:adjustRightInd w:val="0"/>
              <w:spacing w:line="360" w:lineRule="auto"/>
              <w:jc w:val="left"/>
              <w:textAlignment w:val="baseline"/>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注：未提供或不满足进档要求不得分。</w:t>
            </w:r>
          </w:p>
        </w:tc>
        <w:tc>
          <w:tcPr>
            <w:tcW w:w="885"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after="0"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03" w:type="dxa"/>
            <w:vMerge w:val="restart"/>
            <w:tcBorders>
              <w:top w:val="single" w:color="auto" w:sz="4" w:space="0"/>
              <w:left w:val="single" w:color="auto" w:sz="4" w:space="0"/>
              <w:right w:val="single" w:color="auto" w:sz="4" w:space="0"/>
            </w:tcBorders>
            <w:vAlign w:val="center"/>
          </w:tcPr>
          <w:p>
            <w:pPr>
              <w:widowControl/>
              <w:overflowPunct w:val="0"/>
              <w:autoSpaceDE w:val="0"/>
              <w:autoSpaceDN w:val="0"/>
              <w:adjustRightInd w:val="0"/>
              <w:spacing w:after="0" w:line="360" w:lineRule="auto"/>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798" w:type="dxa"/>
            <w:vMerge w:val="restart"/>
            <w:tcBorders>
              <w:top w:val="single" w:color="auto" w:sz="4" w:space="0"/>
              <w:left w:val="single" w:color="auto" w:sz="4" w:space="0"/>
              <w:right w:val="single" w:color="auto" w:sz="4" w:space="0"/>
            </w:tcBorders>
            <w:vAlign w:val="center"/>
          </w:tcPr>
          <w:p>
            <w:pPr>
              <w:widowControl/>
              <w:overflowPunct w:val="0"/>
              <w:autoSpaceDE w:val="0"/>
              <w:autoSpaceDN w:val="0"/>
              <w:adjustRightInd w:val="0"/>
              <w:spacing w:after="0" w:line="360" w:lineRule="auto"/>
              <w:jc w:val="center"/>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商务因素</w:t>
            </w:r>
          </w:p>
        </w:tc>
        <w:tc>
          <w:tcPr>
            <w:tcW w:w="1210"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after="0"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拟投入人员</w:t>
            </w:r>
          </w:p>
        </w:tc>
        <w:tc>
          <w:tcPr>
            <w:tcW w:w="5368" w:type="dxa"/>
            <w:tcBorders>
              <w:top w:val="single" w:color="auto" w:sz="4" w:space="0"/>
              <w:left w:val="single" w:color="auto" w:sz="4" w:space="0"/>
              <w:bottom w:val="single" w:color="auto" w:sz="4" w:space="0"/>
              <w:right w:val="single" w:color="auto" w:sz="4" w:space="0"/>
            </w:tcBorders>
            <w:vAlign w:val="center"/>
          </w:tcPr>
          <w:p>
            <w:pPr>
              <w:pStyle w:val="28"/>
              <w:numPr>
                <w:ilvl w:val="0"/>
                <w:numId w:val="0"/>
              </w:numPr>
              <w:spacing w:line="360" w:lineRule="auto"/>
              <w:rPr>
                <w:rFonts w:hint="default" w:ascii="Times New Roman" w:hAnsi="Times New Roman" w:cs="Times New Roman"/>
                <w:color w:val="auto"/>
                <w:szCs w:val="32"/>
                <w:highlight w:val="none"/>
                <w:lang w:val="en-US" w:eastAsia="zh-CN"/>
              </w:rPr>
            </w:pPr>
            <w:r>
              <w:rPr>
                <w:rFonts w:hint="eastAsia" w:ascii="宋体" w:hAnsi="宋体" w:cs="宋体"/>
                <w:color w:val="auto"/>
                <w:sz w:val="21"/>
                <w:szCs w:val="21"/>
                <w:highlight w:val="none"/>
                <w:lang w:val="en-US" w:eastAsia="zh-CN"/>
              </w:rPr>
              <w:t>供应商的专业团队人员达5人的，且项目人员包括但不限于项目负责人、网页设计人员、编辑人员、摄影人员等，项目负责人具有5年以上新闻类、编辑类等相关行业的工作经验，项目人员具有新闻类、编辑类中级及以上职称的，每一位得3分，最高得18分。（必须提供项目团队人员基本情况一览表，专业技术资格证复印件）</w:t>
            </w:r>
          </w:p>
        </w:tc>
        <w:tc>
          <w:tcPr>
            <w:tcW w:w="885"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color w:val="auto"/>
                <w:highlight w:val="none"/>
                <w:lang w:val="en-US" w:eastAsia="zh-CN"/>
              </w:rPr>
            </w:pPr>
            <w:r>
              <w:rPr>
                <w:rFonts w:hint="eastAsia"/>
                <w:color w:val="auto"/>
                <w:highlight w:val="none"/>
                <w:lang w:val="en-US" w:eastAsia="zh-CN"/>
              </w:rPr>
              <w:t>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03" w:type="dxa"/>
            <w:vMerge w:val="continue"/>
            <w:tcBorders>
              <w:left w:val="single" w:color="auto" w:sz="4" w:space="0"/>
              <w:right w:val="single" w:color="auto" w:sz="4" w:space="0"/>
            </w:tcBorders>
            <w:vAlign w:val="center"/>
          </w:tcPr>
          <w:p>
            <w:pPr>
              <w:widowControl/>
              <w:overflowPunct w:val="0"/>
              <w:autoSpaceDE w:val="0"/>
              <w:autoSpaceDN w:val="0"/>
              <w:adjustRightInd w:val="0"/>
              <w:spacing w:after="0" w:line="360" w:lineRule="auto"/>
              <w:jc w:val="center"/>
              <w:textAlignment w:val="baseline"/>
              <w:rPr>
                <w:rFonts w:hint="eastAsia" w:ascii="宋体" w:hAnsi="宋体" w:eastAsia="宋体" w:cs="宋体"/>
                <w:color w:val="auto"/>
                <w:kern w:val="0"/>
                <w:sz w:val="21"/>
                <w:szCs w:val="21"/>
                <w:highlight w:val="none"/>
              </w:rPr>
            </w:pPr>
          </w:p>
        </w:tc>
        <w:tc>
          <w:tcPr>
            <w:tcW w:w="798" w:type="dxa"/>
            <w:vMerge w:val="continue"/>
            <w:tcBorders>
              <w:left w:val="single" w:color="auto" w:sz="4" w:space="0"/>
              <w:right w:val="single" w:color="auto" w:sz="4" w:space="0"/>
            </w:tcBorders>
            <w:vAlign w:val="top"/>
          </w:tcPr>
          <w:p>
            <w:pPr>
              <w:widowControl/>
              <w:overflowPunct w:val="0"/>
              <w:autoSpaceDE w:val="0"/>
              <w:autoSpaceDN w:val="0"/>
              <w:adjustRightInd w:val="0"/>
              <w:spacing w:after="0" w:line="360" w:lineRule="auto"/>
              <w:jc w:val="left"/>
              <w:textAlignment w:val="baseline"/>
              <w:rPr>
                <w:rFonts w:hint="eastAsia" w:ascii="宋体" w:hAnsi="宋体" w:eastAsia="宋体" w:cs="宋体"/>
                <w:color w:val="auto"/>
                <w:sz w:val="21"/>
                <w:szCs w:val="21"/>
                <w:highlight w:val="none"/>
                <w:lang w:val="zh-CN"/>
              </w:rPr>
            </w:pPr>
          </w:p>
        </w:tc>
        <w:tc>
          <w:tcPr>
            <w:tcW w:w="1210"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after="0" w:line="360" w:lineRule="auto"/>
              <w:jc w:val="center"/>
              <w:textAlignment w:val="baseline"/>
              <w:rPr>
                <w:rFonts w:hint="eastAsia" w:ascii="宋体" w:hAnsi="宋体" w:eastAsia="宋体" w:cs="宋体"/>
                <w:color w:val="auto"/>
                <w:kern w:val="2"/>
                <w:sz w:val="21"/>
                <w:szCs w:val="21"/>
                <w:highlight w:val="none"/>
                <w:lang w:val="zh-CN" w:eastAsia="zh-CN" w:bidi="ar-SA"/>
              </w:rPr>
            </w:pPr>
            <w:r>
              <w:rPr>
                <w:rFonts w:hint="eastAsia" w:ascii="宋体" w:hAnsi="宋体" w:cs="宋体"/>
                <w:color w:val="auto"/>
                <w:sz w:val="21"/>
                <w:szCs w:val="21"/>
                <w:highlight w:val="none"/>
                <w:lang w:val="en-US" w:eastAsia="zh-CN"/>
              </w:rPr>
              <w:t>相关证书</w:t>
            </w:r>
          </w:p>
        </w:tc>
        <w:tc>
          <w:tcPr>
            <w:tcW w:w="5368" w:type="dxa"/>
            <w:tcBorders>
              <w:top w:val="single" w:color="auto" w:sz="4" w:space="0"/>
              <w:left w:val="single" w:color="auto" w:sz="4" w:space="0"/>
              <w:bottom w:val="single" w:color="auto" w:sz="4" w:space="0"/>
              <w:right w:val="single" w:color="auto" w:sz="4" w:space="0"/>
            </w:tcBorders>
            <w:vAlign w:val="center"/>
          </w:tcPr>
          <w:p>
            <w:pPr>
              <w:pStyle w:val="28"/>
              <w:numPr>
                <w:ilvl w:val="0"/>
                <w:numId w:val="0"/>
              </w:numPr>
              <w:spacing w:line="360" w:lineRule="auto"/>
              <w:ind w:left="0" w:leftChars="0" w:firstLine="0" w:firstLineChars="0"/>
              <w:rPr>
                <w:rFonts w:hint="eastAsia" w:ascii="Times New Roman" w:hAnsi="Times New Roman" w:eastAsia="宋体" w:cs="Times New Roman"/>
                <w:color w:val="auto"/>
                <w:kern w:val="2"/>
                <w:sz w:val="21"/>
                <w:szCs w:val="32"/>
                <w:highlight w:val="none"/>
                <w:lang w:val="en-US" w:eastAsia="zh-CN" w:bidi="ar-SA"/>
              </w:rPr>
            </w:pPr>
            <w:r>
              <w:rPr>
                <w:rFonts w:hint="eastAsia" w:ascii="Times New Roman" w:hAnsi="Times New Roman" w:cs="Times New Roman"/>
                <w:color w:val="auto"/>
                <w:szCs w:val="32"/>
                <w:highlight w:val="none"/>
                <w:lang w:val="en-US" w:eastAsia="zh-CN"/>
              </w:rPr>
              <w:t>供应商拥有有效期内的质量管理体系认证（ISO9001）、环境管理体系认证、互联网新闻信息服务许可证的，每项得4分，满分12分。</w:t>
            </w:r>
          </w:p>
        </w:tc>
        <w:tc>
          <w:tcPr>
            <w:tcW w:w="885"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Calibri" w:hAnsi="Calibri" w:eastAsia="宋体" w:cs="Times New Roman"/>
                <w:color w:val="auto"/>
                <w:kern w:val="2"/>
                <w:sz w:val="21"/>
                <w:szCs w:val="22"/>
                <w:highlight w:val="none"/>
                <w:lang w:val="en-US" w:eastAsia="zh-CN" w:bidi="ar-SA"/>
              </w:rPr>
            </w:pPr>
            <w:r>
              <w:rPr>
                <w:rFonts w:hint="eastAsia"/>
                <w:color w:val="auto"/>
                <w:highlight w:val="none"/>
                <w:lang w:val="en-US" w:eastAsia="zh-CN"/>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03" w:type="dxa"/>
            <w:vMerge w:val="continue"/>
            <w:tcBorders>
              <w:left w:val="single" w:color="auto" w:sz="4" w:space="0"/>
              <w:right w:val="single" w:color="auto" w:sz="4" w:space="0"/>
            </w:tcBorders>
            <w:vAlign w:val="center"/>
          </w:tcPr>
          <w:p>
            <w:pPr>
              <w:widowControl/>
              <w:overflowPunct w:val="0"/>
              <w:autoSpaceDE w:val="0"/>
              <w:autoSpaceDN w:val="0"/>
              <w:adjustRightInd w:val="0"/>
              <w:spacing w:after="0" w:line="360" w:lineRule="auto"/>
              <w:jc w:val="center"/>
              <w:textAlignment w:val="baseline"/>
              <w:rPr>
                <w:rFonts w:hint="eastAsia" w:ascii="宋体" w:hAnsi="宋体" w:eastAsia="宋体" w:cs="宋体"/>
                <w:color w:val="auto"/>
                <w:kern w:val="0"/>
                <w:sz w:val="21"/>
                <w:szCs w:val="21"/>
                <w:highlight w:val="none"/>
              </w:rPr>
            </w:pPr>
          </w:p>
        </w:tc>
        <w:tc>
          <w:tcPr>
            <w:tcW w:w="798" w:type="dxa"/>
            <w:vMerge w:val="continue"/>
            <w:tcBorders>
              <w:left w:val="single" w:color="auto" w:sz="4" w:space="0"/>
              <w:right w:val="single" w:color="auto" w:sz="4" w:space="0"/>
            </w:tcBorders>
            <w:vAlign w:val="top"/>
          </w:tcPr>
          <w:p>
            <w:pPr>
              <w:widowControl/>
              <w:overflowPunct w:val="0"/>
              <w:autoSpaceDE w:val="0"/>
              <w:autoSpaceDN w:val="0"/>
              <w:adjustRightInd w:val="0"/>
              <w:spacing w:after="0" w:line="360" w:lineRule="auto"/>
              <w:jc w:val="left"/>
              <w:textAlignment w:val="baseline"/>
              <w:rPr>
                <w:rFonts w:hint="eastAsia" w:ascii="宋体" w:hAnsi="宋体" w:eastAsia="宋体" w:cs="宋体"/>
                <w:color w:val="auto"/>
                <w:sz w:val="21"/>
                <w:szCs w:val="21"/>
                <w:highlight w:val="none"/>
                <w:lang w:val="zh-CN"/>
              </w:rPr>
            </w:pPr>
          </w:p>
        </w:tc>
        <w:tc>
          <w:tcPr>
            <w:tcW w:w="1210"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after="0" w:line="360" w:lineRule="auto"/>
              <w:jc w:val="center"/>
              <w:textAlignment w:val="baseline"/>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zh-CN" w:eastAsia="zh-CN"/>
              </w:rPr>
              <w:t>业绩经验</w:t>
            </w:r>
            <w:r>
              <w:rPr>
                <w:rFonts w:hint="eastAsia" w:ascii="宋体" w:hAnsi="宋体" w:eastAsia="宋体" w:cs="宋体"/>
                <w:color w:val="auto"/>
                <w:sz w:val="21"/>
                <w:szCs w:val="21"/>
                <w:highlight w:val="none"/>
                <w:lang w:val="zh-CN"/>
              </w:rPr>
              <w:t>分</w:t>
            </w:r>
          </w:p>
        </w:tc>
        <w:tc>
          <w:tcPr>
            <w:tcW w:w="53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Times New Roman" w:hAnsi="Times New Roman" w:eastAsia="宋体" w:cs="Times New Roman"/>
                <w:color w:val="auto"/>
                <w:kern w:val="2"/>
                <w:sz w:val="21"/>
                <w:szCs w:val="32"/>
                <w:highlight w:val="none"/>
                <w:lang w:val="en-US" w:eastAsia="zh-CN" w:bidi="ar-SA"/>
              </w:rPr>
            </w:pPr>
            <w:r>
              <w:rPr>
                <w:rFonts w:hint="eastAsia" w:ascii="宋体" w:hAnsi="宋体" w:cs="宋体"/>
                <w:color w:val="auto"/>
                <w:highlight w:val="none"/>
                <w:lang w:val="en-US" w:eastAsia="zh-CN"/>
              </w:rPr>
              <w:t xml:space="preserve"> </w:t>
            </w:r>
            <w:r>
              <w:rPr>
                <w:rFonts w:hint="eastAsia" w:ascii="Times New Roman" w:hAnsi="Times New Roman" w:eastAsia="宋体" w:cs="Times New Roman"/>
                <w:color w:val="auto"/>
                <w:kern w:val="2"/>
                <w:sz w:val="21"/>
                <w:szCs w:val="32"/>
                <w:highlight w:val="none"/>
                <w:lang w:val="en-US" w:eastAsia="zh-CN" w:bidi="ar-SA"/>
              </w:rPr>
              <w:t>自2021年5月1日至本项目投标截止时间止，以签订合同时间为准）具有类似项目业绩（投标文件提供合同复印件，复印件内容须体现为同类项目。同一个项目签订多份合同的只能计算一次，不重复计分）的，每项业绩得2分，满分10分。</w:t>
            </w:r>
          </w:p>
          <w:p>
            <w:pPr>
              <w:pStyle w:val="28"/>
              <w:spacing w:line="360" w:lineRule="auto"/>
              <w:ind w:firstLine="0" w:firstLineChars="0"/>
              <w:rPr>
                <w:rFonts w:hint="eastAsia" w:ascii="宋体" w:hAnsi="宋体" w:eastAsia="宋体" w:cs="宋体"/>
                <w:color w:val="auto"/>
                <w:sz w:val="21"/>
                <w:szCs w:val="21"/>
                <w:highlight w:val="none"/>
                <w:lang w:val="en-US" w:eastAsia="zh-CN"/>
              </w:rPr>
            </w:pPr>
            <w:r>
              <w:rPr>
                <w:rFonts w:hint="eastAsia" w:ascii="Times New Roman" w:hAnsi="Times New Roman" w:eastAsia="宋体" w:cs="Times New Roman"/>
                <w:color w:val="auto"/>
                <w:kern w:val="2"/>
                <w:sz w:val="21"/>
                <w:szCs w:val="32"/>
                <w:highlight w:val="none"/>
                <w:lang w:val="en-US" w:eastAsia="zh-CN" w:bidi="ar-SA"/>
              </w:rPr>
              <w:t>注：</w:t>
            </w:r>
            <w:r>
              <w:rPr>
                <w:rFonts w:hint="eastAsia" w:ascii="Times New Roman" w:hAnsi="Times New Roman" w:eastAsia="宋体" w:cs="Times New Roman"/>
                <w:b/>
                <w:bCs/>
                <w:color w:val="auto"/>
                <w:kern w:val="2"/>
                <w:sz w:val="21"/>
                <w:szCs w:val="32"/>
                <w:highlight w:val="none"/>
                <w:lang w:val="en-US" w:eastAsia="zh-CN" w:bidi="ar-SA"/>
              </w:rPr>
              <w:t>类似项目是指专业媒体综合服务项目</w:t>
            </w:r>
            <w:r>
              <w:rPr>
                <w:rFonts w:hint="eastAsia" w:ascii="Times New Roman" w:hAnsi="Times New Roman" w:eastAsia="宋体" w:cs="Times New Roman"/>
                <w:color w:val="auto"/>
                <w:kern w:val="2"/>
                <w:sz w:val="21"/>
                <w:szCs w:val="32"/>
                <w:highlight w:val="none"/>
                <w:lang w:val="en-US" w:eastAsia="zh-CN" w:bidi="ar-SA"/>
              </w:rPr>
              <w:t>。</w:t>
            </w:r>
          </w:p>
        </w:tc>
        <w:tc>
          <w:tcPr>
            <w:tcW w:w="885"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宋体" w:hAnsi="宋体" w:eastAsia="宋体" w:cs="宋体"/>
                <w:color w:val="auto"/>
                <w:sz w:val="21"/>
                <w:szCs w:val="21"/>
                <w:highlight w:val="none"/>
                <w:lang w:val="en-US" w:eastAsia="zh-CN"/>
              </w:rPr>
            </w:pPr>
            <w:r>
              <w:rPr>
                <w:rFonts w:hint="eastAsia"/>
                <w:color w:val="auto"/>
                <w:highlight w:val="none"/>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879"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after="0" w:line="360" w:lineRule="auto"/>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合     计</w:t>
            </w:r>
          </w:p>
        </w:tc>
        <w:tc>
          <w:tcPr>
            <w:tcW w:w="885"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after="0" w:line="360" w:lineRule="auto"/>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xml:space="preserve">100 </w:t>
            </w:r>
          </w:p>
        </w:tc>
      </w:tr>
    </w:tbl>
    <w:p>
      <w:pPr>
        <w:topLinePunct/>
        <w:autoSpaceDE w:val="0"/>
        <w:autoSpaceDN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落实政府采购政策进行价格调整的规则：</w:t>
      </w:r>
    </w:p>
    <w:tbl>
      <w:tblPr>
        <w:tblStyle w:val="17"/>
        <w:tblW w:w="87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68"/>
        <w:gridCol w:w="3561"/>
        <w:gridCol w:w="3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68" w:type="dxa"/>
            <w:vAlign w:val="center"/>
          </w:tcPr>
          <w:p>
            <w:pPr>
              <w:pStyle w:val="23"/>
              <w:widowControl w:val="0"/>
              <w:spacing w:line="240" w:lineRule="auto"/>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政府采购政策</w:t>
            </w:r>
          </w:p>
        </w:tc>
        <w:tc>
          <w:tcPr>
            <w:tcW w:w="3561" w:type="dxa"/>
            <w:vAlign w:val="center"/>
          </w:tcPr>
          <w:p>
            <w:pPr>
              <w:pStyle w:val="23"/>
              <w:widowControl w:val="0"/>
              <w:spacing w:line="240" w:lineRule="auto"/>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价格扣除规则</w:t>
            </w:r>
          </w:p>
        </w:tc>
        <w:tc>
          <w:tcPr>
            <w:tcW w:w="3129" w:type="dxa"/>
            <w:vAlign w:val="center"/>
          </w:tcPr>
          <w:p>
            <w:pPr>
              <w:pStyle w:val="23"/>
              <w:widowControl w:val="0"/>
              <w:spacing w:line="240" w:lineRule="auto"/>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享受价格扣除的条件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68" w:type="dxa"/>
            <w:vAlign w:val="center"/>
          </w:tcPr>
          <w:p>
            <w:pPr>
              <w:pStyle w:val="23"/>
              <w:widowControl w:val="0"/>
              <w:spacing w:line="24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节约能源政策</w:t>
            </w:r>
          </w:p>
        </w:tc>
        <w:tc>
          <w:tcPr>
            <w:tcW w:w="3561" w:type="dxa"/>
            <w:vAlign w:val="center"/>
          </w:tcPr>
          <w:p>
            <w:pPr>
              <w:pStyle w:val="23"/>
              <w:widowControl w:val="0"/>
              <w:spacing w:line="24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无 </w:t>
            </w:r>
          </w:p>
        </w:tc>
        <w:tc>
          <w:tcPr>
            <w:tcW w:w="3129" w:type="dxa"/>
            <w:vAlign w:val="center"/>
          </w:tcPr>
          <w:p>
            <w:pPr>
              <w:widowControl w:val="0"/>
              <w:spacing w:line="24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68" w:type="dxa"/>
            <w:vAlign w:val="center"/>
          </w:tcPr>
          <w:p>
            <w:pPr>
              <w:pStyle w:val="23"/>
              <w:widowControl w:val="0"/>
              <w:spacing w:line="24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保护环境政策</w:t>
            </w:r>
          </w:p>
        </w:tc>
        <w:tc>
          <w:tcPr>
            <w:tcW w:w="3561" w:type="dxa"/>
            <w:vAlign w:val="center"/>
          </w:tcPr>
          <w:p>
            <w:pPr>
              <w:widowControl w:val="0"/>
              <w:spacing w:line="24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无 </w:t>
            </w:r>
          </w:p>
        </w:tc>
        <w:tc>
          <w:tcPr>
            <w:tcW w:w="3129" w:type="dxa"/>
            <w:vAlign w:val="center"/>
          </w:tcPr>
          <w:p>
            <w:pPr>
              <w:widowControl w:val="0"/>
              <w:spacing w:line="24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jc w:val="center"/>
        </w:trPr>
        <w:tc>
          <w:tcPr>
            <w:tcW w:w="2068" w:type="dxa"/>
            <w:vAlign w:val="center"/>
          </w:tcPr>
          <w:p>
            <w:pPr>
              <w:pStyle w:val="23"/>
              <w:widowControl w:val="0"/>
              <w:spacing w:line="24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促进中小企业</w:t>
            </w:r>
          </w:p>
          <w:p>
            <w:pPr>
              <w:pStyle w:val="23"/>
              <w:widowControl w:val="0"/>
              <w:spacing w:line="24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发展政策</w:t>
            </w:r>
          </w:p>
        </w:tc>
        <w:tc>
          <w:tcPr>
            <w:tcW w:w="3561" w:type="dxa"/>
            <w:vAlign w:val="center"/>
          </w:tcPr>
          <w:p>
            <w:pPr>
              <w:widowControl w:val="0"/>
              <w:spacing w:line="240" w:lineRule="auto"/>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非专门面向中小企业采购项目。对小型和微型企业的报价给予15%的扣除，用扣除后的价格参与评审</w:t>
            </w:r>
          </w:p>
        </w:tc>
        <w:tc>
          <w:tcPr>
            <w:tcW w:w="3129" w:type="dxa"/>
            <w:vAlign w:val="center"/>
          </w:tcPr>
          <w:p>
            <w:pPr>
              <w:widowControl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满足服务由中小企业承接，即提供服务的人员为中小企业依照《中华人民共和国劳动合同法》订立劳动合同的从业人员的，可享受中小企业扶持政策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68" w:type="dxa"/>
            <w:vAlign w:val="center"/>
          </w:tcPr>
          <w:p>
            <w:pPr>
              <w:pStyle w:val="23"/>
              <w:widowControl w:val="0"/>
              <w:spacing w:line="24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促进残疾人就业政策</w:t>
            </w:r>
          </w:p>
        </w:tc>
        <w:tc>
          <w:tcPr>
            <w:tcW w:w="3561" w:type="dxa"/>
            <w:vAlign w:val="center"/>
          </w:tcPr>
          <w:p>
            <w:pPr>
              <w:widowControl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非专门面向中小企业采购项目。对小型和微型企业的报价给予15%的扣除，用扣除后的价格参与评审</w:t>
            </w:r>
          </w:p>
        </w:tc>
        <w:tc>
          <w:tcPr>
            <w:tcW w:w="3129" w:type="dxa"/>
            <w:vAlign w:val="center"/>
          </w:tcPr>
          <w:p>
            <w:pPr>
              <w:widowControl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根据《关于政府采购支持监狱企业发展有关问题的通知》（财库〔2014〕68号），监狱企业视同小型、微型企业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68" w:type="dxa"/>
            <w:vAlign w:val="center"/>
          </w:tcPr>
          <w:p>
            <w:pPr>
              <w:pStyle w:val="23"/>
              <w:widowControl w:val="0"/>
              <w:spacing w:line="24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支持监狱企业</w:t>
            </w:r>
          </w:p>
          <w:p>
            <w:pPr>
              <w:pStyle w:val="23"/>
              <w:widowControl w:val="0"/>
              <w:spacing w:line="24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发展政策</w:t>
            </w:r>
          </w:p>
        </w:tc>
        <w:tc>
          <w:tcPr>
            <w:tcW w:w="3561" w:type="dxa"/>
            <w:vAlign w:val="center"/>
          </w:tcPr>
          <w:p>
            <w:pPr>
              <w:widowControl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非专门面向中小企业采购项目。对小型和微型企业的报价给予15%的扣除，用扣除后的价格参与评审</w:t>
            </w:r>
          </w:p>
        </w:tc>
        <w:tc>
          <w:tcPr>
            <w:tcW w:w="3129" w:type="dxa"/>
            <w:vAlign w:val="center"/>
          </w:tcPr>
          <w:p>
            <w:pPr>
              <w:widowControl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根据《关于促进残疾人就业政府采购政策的通知》（财库〔2017〕141号），残疾人福利性单位视同小型、微型企业</w:t>
            </w:r>
          </w:p>
        </w:tc>
      </w:tr>
    </w:tbl>
    <w:p>
      <w:pPr>
        <w:pStyle w:val="23"/>
        <w:keepNext w:val="0"/>
        <w:keepLines w:val="0"/>
        <w:pageBreakBefore w:val="0"/>
        <w:widowControl w:val="0"/>
        <w:kinsoku/>
        <w:wordWrap/>
        <w:overflowPunct/>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2.4推荐</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候选人</w:t>
      </w:r>
    </w:p>
    <w:p>
      <w:pPr>
        <w:keepNext w:val="0"/>
        <w:keepLines w:val="0"/>
        <w:pageBreakBefore w:val="0"/>
        <w:widowControl/>
        <w:kinsoku/>
        <w:wordWrap/>
        <w:overflowPunct/>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2.4.1按评审后得分由高到低顺序排列。得分相同的，按投标报价由低到高顺序排列。得分且投标报价相同的并列。</w:t>
      </w:r>
    </w:p>
    <w:p>
      <w:pPr>
        <w:keepNext w:val="0"/>
        <w:keepLines w:val="0"/>
        <w:pageBreakBefore w:val="0"/>
        <w:widowControl/>
        <w:kinsoku/>
        <w:wordWrap/>
        <w:overflowPunct/>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2.4.2本采购包推荐</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候选人的数量：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家。</w:t>
      </w:r>
    </w:p>
    <w:p>
      <w:pPr>
        <w:keepNext w:val="0"/>
        <w:keepLines w:val="0"/>
        <w:pageBreakBefore w:val="0"/>
        <w:widowControl/>
        <w:kinsoku/>
        <w:wordWrap/>
        <w:overflowPunct/>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人数量：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家。</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候选人并列的，按照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其他评审因素得分高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的方式确定</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文件未规定的，采取随机抽取的方式确定。</w:t>
      </w:r>
    </w:p>
    <w:p>
      <w:pPr>
        <w:bidi w:val="0"/>
        <w:rPr>
          <w:rFonts w:hint="eastAsia" w:ascii="宋体" w:hAnsi="宋体" w:eastAsia="宋体" w:cs="宋体"/>
          <w:color w:val="auto"/>
          <w:highlight w:val="none"/>
        </w:rPr>
      </w:pPr>
    </w:p>
    <w:p>
      <w:pPr>
        <w:pStyle w:val="6"/>
        <w:rPr>
          <w:rFonts w:hint="eastAsia" w:ascii="宋体" w:hAnsi="宋体" w:eastAsia="宋体" w:cs="宋体"/>
          <w:color w:val="auto"/>
          <w:highlight w:val="none"/>
        </w:rPr>
        <w:sectPr>
          <w:pgSz w:w="11906" w:h="16838"/>
          <w:pgMar w:top="1440" w:right="1752" w:bottom="1440" w:left="1752" w:header="851" w:footer="992" w:gutter="0"/>
          <w:pgNumType w:fmt="decimal"/>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宋体" w:hAnsi="宋体" w:eastAsia="宋体" w:cs="宋体"/>
          <w:color w:val="auto"/>
          <w:sz w:val="28"/>
          <w:szCs w:val="28"/>
          <w:highlight w:val="none"/>
        </w:rPr>
      </w:pPr>
      <w:bookmarkStart w:id="39" w:name="_Toc21489"/>
      <w:bookmarkStart w:id="40" w:name="_Toc132880667"/>
      <w:r>
        <w:rPr>
          <w:rFonts w:hint="eastAsia" w:ascii="宋体" w:hAnsi="宋体" w:eastAsia="宋体" w:cs="宋体"/>
          <w:color w:val="auto"/>
          <w:sz w:val="28"/>
          <w:szCs w:val="28"/>
          <w:highlight w:val="none"/>
        </w:rPr>
        <w:t>第四章  合同文本</w:t>
      </w:r>
      <w:bookmarkEnd w:id="39"/>
      <w:bookmarkEnd w:id="40"/>
    </w:p>
    <w:p>
      <w:pPr>
        <w:pStyle w:val="11"/>
        <w:jc w:val="center"/>
        <w:rPr>
          <w:rFonts w:hint="eastAsia" w:ascii="宋体" w:hAnsi="宋体" w:eastAsia="宋体" w:cs="宋体"/>
          <w:b/>
          <w:color w:val="auto"/>
          <w:sz w:val="96"/>
          <w:szCs w:val="96"/>
          <w:highlight w:val="none"/>
        </w:rPr>
      </w:pPr>
    </w:p>
    <w:p>
      <w:pPr>
        <w:rPr>
          <w:color w:val="auto"/>
          <w:highlight w:val="none"/>
        </w:rPr>
      </w:pPr>
    </w:p>
    <w:p>
      <w:pPr>
        <w:rPr>
          <w:color w:val="auto"/>
          <w:highlight w:val="none"/>
        </w:rPr>
      </w:pPr>
    </w:p>
    <w:p>
      <w:pPr>
        <w:pStyle w:val="11"/>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合 同 书</w:t>
      </w:r>
    </w:p>
    <w:p>
      <w:pPr>
        <w:pStyle w:val="11"/>
        <w:jc w:val="center"/>
        <w:rPr>
          <w:rFonts w:hint="eastAsia" w:ascii="宋体" w:hAnsi="宋体" w:eastAsia="宋体" w:cs="宋体"/>
          <w:bCs/>
          <w:color w:val="auto"/>
          <w:sz w:val="32"/>
          <w:szCs w:val="32"/>
          <w:highlight w:val="none"/>
        </w:rPr>
      </w:pPr>
    </w:p>
    <w:p>
      <w:pPr>
        <w:tabs>
          <w:tab w:val="left" w:pos="540"/>
          <w:tab w:val="left" w:pos="1080"/>
          <w:tab w:val="left" w:pos="1440"/>
        </w:tabs>
        <w:snapToGrid w:val="0"/>
        <w:jc w:val="center"/>
        <w:rPr>
          <w:rFonts w:hint="eastAsia" w:ascii="宋体" w:hAnsi="宋体" w:eastAsia="宋体" w:cs="宋体"/>
          <w:color w:val="auto"/>
          <w:sz w:val="32"/>
          <w:szCs w:val="32"/>
          <w:highlight w:val="none"/>
        </w:rPr>
      </w:pPr>
    </w:p>
    <w:p>
      <w:pPr>
        <w:tabs>
          <w:tab w:val="left" w:pos="540"/>
          <w:tab w:val="left" w:pos="1080"/>
          <w:tab w:val="left" w:pos="1440"/>
        </w:tabs>
        <w:snapToGrid w:val="0"/>
        <w:jc w:val="center"/>
        <w:rPr>
          <w:rFonts w:hint="eastAsia" w:ascii="宋体" w:hAnsi="宋体" w:eastAsia="宋体" w:cs="宋体"/>
          <w:color w:val="auto"/>
          <w:sz w:val="32"/>
          <w:szCs w:val="32"/>
          <w:highlight w:val="none"/>
        </w:rPr>
      </w:pPr>
    </w:p>
    <w:p>
      <w:pPr>
        <w:tabs>
          <w:tab w:val="left" w:pos="540"/>
          <w:tab w:val="left" w:pos="1080"/>
          <w:tab w:val="left" w:pos="1440"/>
        </w:tabs>
        <w:snapToGrid w:val="0"/>
        <w:jc w:val="center"/>
        <w:rPr>
          <w:rFonts w:hint="eastAsia" w:ascii="宋体" w:hAnsi="宋体" w:eastAsia="宋体" w:cs="宋体"/>
          <w:color w:val="auto"/>
          <w:sz w:val="32"/>
          <w:szCs w:val="32"/>
          <w:highlight w:val="none"/>
        </w:rPr>
      </w:pPr>
    </w:p>
    <w:p>
      <w:pPr>
        <w:tabs>
          <w:tab w:val="left" w:pos="540"/>
          <w:tab w:val="left" w:pos="1080"/>
          <w:tab w:val="left" w:pos="1440"/>
        </w:tabs>
        <w:snapToGrid w:val="0"/>
        <w:ind w:left="1680" w:leftChars="800"/>
        <w:jc w:val="center"/>
        <w:rPr>
          <w:rFonts w:hint="eastAsia" w:ascii="宋体" w:hAnsi="宋体" w:eastAsia="宋体" w:cs="宋体"/>
          <w:color w:val="auto"/>
          <w:sz w:val="32"/>
          <w:szCs w:val="32"/>
          <w:highlight w:val="none"/>
        </w:rPr>
      </w:pPr>
    </w:p>
    <w:p>
      <w:pPr>
        <w:tabs>
          <w:tab w:val="left" w:pos="2160"/>
        </w:tabs>
        <w:topLinePunct/>
        <w:autoSpaceDE w:val="0"/>
        <w:autoSpaceDN w:val="0"/>
        <w:snapToGrid w:val="0"/>
        <w:spacing w:line="360" w:lineRule="auto"/>
        <w:ind w:left="2100" w:leftChars="10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u w:val="single"/>
          <w:lang w:val="en-US" w:eastAsia="zh-CN"/>
        </w:rPr>
        <w:t xml:space="preserve">                   </w:t>
      </w:r>
    </w:p>
    <w:p>
      <w:pPr>
        <w:tabs>
          <w:tab w:val="left" w:pos="2160"/>
        </w:tabs>
        <w:topLinePunct/>
        <w:autoSpaceDE w:val="0"/>
        <w:autoSpaceDN w:val="0"/>
        <w:snapToGrid w:val="0"/>
        <w:spacing w:line="360" w:lineRule="auto"/>
        <w:ind w:left="2100" w:leftChars="10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包</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eastAsia="zh-CN"/>
        </w:rPr>
        <w:t>号：</w:t>
      </w:r>
      <w:r>
        <w:rPr>
          <w:rFonts w:hint="eastAsia" w:ascii="宋体" w:hAnsi="宋体" w:eastAsia="宋体" w:cs="宋体"/>
          <w:b w:val="0"/>
          <w:bCs/>
          <w:color w:val="auto"/>
          <w:sz w:val="24"/>
          <w:szCs w:val="24"/>
          <w:highlight w:val="none"/>
          <w:u w:val="single"/>
          <w:lang w:val="en-US" w:eastAsia="zh-CN"/>
        </w:rPr>
        <w:t xml:space="preserve">                   </w:t>
      </w:r>
    </w:p>
    <w:p>
      <w:pPr>
        <w:tabs>
          <w:tab w:val="left" w:pos="540"/>
          <w:tab w:val="left" w:pos="1080"/>
          <w:tab w:val="left" w:pos="1440"/>
        </w:tabs>
        <w:snapToGrid w:val="0"/>
        <w:spacing w:line="360" w:lineRule="auto"/>
        <w:ind w:left="2100" w:leftChars="10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合同编号</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 xml:space="preserve"> </w:t>
      </w:r>
    </w:p>
    <w:p>
      <w:pPr>
        <w:tabs>
          <w:tab w:val="left" w:pos="2160"/>
        </w:tabs>
        <w:topLinePunct/>
        <w:autoSpaceDE w:val="0"/>
        <w:autoSpaceDN w:val="0"/>
        <w:snapToGrid w:val="0"/>
        <w:spacing w:line="360" w:lineRule="auto"/>
        <w:ind w:left="2880" w:leftChars="800" w:hanging="1200" w:hangingChars="500"/>
        <w:rPr>
          <w:rFonts w:hint="eastAsia" w:ascii="宋体" w:hAnsi="宋体" w:eastAsia="宋体" w:cs="宋体"/>
          <w:bCs/>
          <w:color w:val="auto"/>
          <w:sz w:val="24"/>
          <w:szCs w:val="24"/>
          <w:highlight w:val="none"/>
        </w:rPr>
      </w:pPr>
    </w:p>
    <w:p>
      <w:pPr>
        <w:pStyle w:val="11"/>
        <w:spacing w:line="460" w:lineRule="exact"/>
        <w:jc w:val="center"/>
        <w:rPr>
          <w:rFonts w:hint="eastAsia" w:ascii="宋体" w:hAnsi="宋体" w:eastAsia="宋体" w:cs="宋体"/>
          <w:bCs/>
          <w:color w:val="auto"/>
          <w:sz w:val="24"/>
          <w:szCs w:val="24"/>
          <w:highlight w:val="none"/>
        </w:rPr>
      </w:pPr>
    </w:p>
    <w:p>
      <w:pPr>
        <w:pStyle w:val="11"/>
        <w:tabs>
          <w:tab w:val="left" w:pos="3045"/>
        </w:tabs>
        <w:spacing w:line="46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b/>
      </w:r>
    </w:p>
    <w:p>
      <w:pPr>
        <w:pStyle w:val="11"/>
        <w:spacing w:line="460" w:lineRule="exact"/>
        <w:rPr>
          <w:rFonts w:hint="eastAsia" w:ascii="宋体" w:hAnsi="宋体" w:eastAsia="宋体" w:cs="宋体"/>
          <w:bCs/>
          <w:color w:val="auto"/>
          <w:sz w:val="24"/>
          <w:szCs w:val="24"/>
          <w:highlight w:val="none"/>
        </w:rPr>
      </w:pPr>
    </w:p>
    <w:p>
      <w:pPr>
        <w:pStyle w:val="11"/>
        <w:spacing w:line="460" w:lineRule="exact"/>
        <w:jc w:val="center"/>
        <w:rPr>
          <w:rFonts w:hint="eastAsia" w:ascii="宋体" w:hAnsi="宋体" w:eastAsia="宋体" w:cs="宋体"/>
          <w:bCs/>
          <w:color w:val="auto"/>
          <w:sz w:val="24"/>
          <w:szCs w:val="24"/>
          <w:highlight w:val="none"/>
        </w:rPr>
      </w:pPr>
    </w:p>
    <w:p>
      <w:pPr>
        <w:spacing w:line="300" w:lineRule="auto"/>
        <w:ind w:left="840" w:leftChars="400" w:firstLine="1298" w:firstLineChars="541"/>
        <w:rPr>
          <w:rFonts w:hint="eastAsia" w:ascii="宋体" w:hAnsi="宋体" w:eastAsia="宋体" w:cs="宋体"/>
          <w:b w:val="0"/>
          <w:bCs/>
          <w:color w:val="auto"/>
          <w:sz w:val="24"/>
          <w:szCs w:val="24"/>
          <w:highlight w:val="none"/>
          <w:u w:val="single"/>
        </w:rPr>
      </w:pPr>
      <w:r>
        <w:rPr>
          <w:rFonts w:hint="eastAsia" w:ascii="宋体" w:hAnsi="宋体" w:eastAsia="宋体" w:cs="宋体"/>
          <w:bCs/>
          <w:color w:val="auto"/>
          <w:sz w:val="24"/>
          <w:szCs w:val="24"/>
          <w:highlight w:val="none"/>
        </w:rPr>
        <w:t>甲    方</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u w:val="single"/>
        </w:rPr>
        <w:t xml:space="preserve"> 国家税务总局南宁市税务局</w:t>
      </w:r>
    </w:p>
    <w:p>
      <w:pPr>
        <w:spacing w:line="300" w:lineRule="auto"/>
        <w:ind w:left="840" w:leftChars="400" w:firstLine="1298" w:firstLineChars="5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乙    方</w:t>
      </w:r>
      <w:r>
        <w:rPr>
          <w:rFonts w:hint="eastAsia"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u w:val="single"/>
          <w:lang w:val="en-US" w:eastAsia="zh-CN"/>
        </w:rPr>
        <w:t xml:space="preserve">                     </w:t>
      </w:r>
    </w:p>
    <w:p>
      <w:pPr>
        <w:spacing w:line="300" w:lineRule="auto"/>
        <w:ind w:left="840" w:leftChars="400" w:firstLine="1298" w:firstLineChars="5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日    期</w:t>
      </w:r>
      <w:r>
        <w:rPr>
          <w:rFonts w:hint="eastAsia"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rPr>
        <w:t>年</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rPr>
        <w:t xml:space="preserve">月  </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日</w:t>
      </w:r>
    </w:p>
    <w:p>
      <w:pPr>
        <w:spacing w:line="240" w:lineRule="auto"/>
        <w:ind w:left="0" w:leftChars="0" w:firstLine="0" w:firstLineChars="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br w:type="page"/>
      </w:r>
    </w:p>
    <w:p>
      <w:pPr>
        <w:spacing w:line="300" w:lineRule="auto"/>
        <w:ind w:left="840" w:leftChars="400" w:firstLine="1298" w:firstLineChars="541"/>
        <w:rPr>
          <w:rFonts w:hint="eastAsia" w:ascii="宋体" w:hAnsi="宋体" w:eastAsia="宋体" w:cs="宋体"/>
          <w:bCs/>
          <w:color w:val="auto"/>
          <w:sz w:val="24"/>
          <w:szCs w:val="24"/>
          <w:highlight w:val="none"/>
          <w:u w:val="single"/>
        </w:rPr>
      </w:pPr>
    </w:p>
    <w:p>
      <w:pPr>
        <w:spacing w:line="300" w:lineRule="auto"/>
        <w:jc w:val="center"/>
        <w:outlineLvl w:val="1"/>
        <w:rPr>
          <w:rFonts w:hint="eastAsia" w:ascii="宋体" w:hAnsi="宋体" w:eastAsia="宋体" w:cs="宋体"/>
          <w:b/>
          <w:color w:val="auto"/>
          <w:sz w:val="24"/>
          <w:szCs w:val="24"/>
          <w:highlight w:val="none"/>
        </w:rPr>
      </w:pPr>
      <w:bookmarkStart w:id="41" w:name="_Toc25389"/>
      <w:r>
        <w:rPr>
          <w:rFonts w:hint="eastAsia" w:ascii="宋体" w:hAnsi="宋体" w:eastAsia="宋体" w:cs="宋体"/>
          <w:b/>
          <w:color w:val="auto"/>
          <w:sz w:val="24"/>
          <w:szCs w:val="24"/>
          <w:highlight w:val="none"/>
        </w:rPr>
        <w:t>合同条款前附表</w:t>
      </w:r>
      <w:bookmarkEnd w:id="41"/>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09"/>
        <w:gridCol w:w="1500"/>
        <w:gridCol w:w="2433"/>
        <w:gridCol w:w="1395"/>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7688" w:type="dxa"/>
            <w:gridSpan w:val="5"/>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655" w:type="dxa"/>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合同名称</w:t>
            </w:r>
          </w:p>
        </w:tc>
        <w:tc>
          <w:tcPr>
            <w:tcW w:w="5779" w:type="dxa"/>
            <w:gridSpan w:val="3"/>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国家税务总局南宁市税务局专业媒体综合服务项目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合同编号</w:t>
            </w:r>
          </w:p>
        </w:tc>
        <w:tc>
          <w:tcPr>
            <w:tcW w:w="5779" w:type="dxa"/>
            <w:gridSpan w:val="3"/>
            <w:tcBorders>
              <w:top w:val="single" w:color="auto" w:sz="4" w:space="0"/>
              <w:left w:val="single" w:color="auto" w:sz="4" w:space="0"/>
              <w:bottom w:val="single" w:color="auto" w:sz="4" w:space="0"/>
              <w:right w:val="single" w:color="auto" w:sz="4" w:space="0"/>
            </w:tcBorders>
            <w:noWrap/>
            <w:vAlign w:val="center"/>
          </w:tcPr>
          <w:p>
            <w:pPr>
              <w:tabs>
                <w:tab w:val="left" w:pos="2160"/>
              </w:tabs>
              <w:topLinePunct/>
              <w:autoSpaceDE w:val="0"/>
              <w:autoSpaceDN w:val="0"/>
              <w:adjustRightInd w:val="0"/>
              <w:snapToGrid w:val="0"/>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合同类型</w:t>
            </w:r>
          </w:p>
        </w:tc>
        <w:tc>
          <w:tcPr>
            <w:tcW w:w="5779" w:type="dxa"/>
            <w:gridSpan w:val="3"/>
            <w:tcBorders>
              <w:top w:val="single" w:color="auto" w:sz="4" w:space="0"/>
              <w:left w:val="single" w:color="auto" w:sz="4" w:space="0"/>
              <w:bottom w:val="single" w:color="auto" w:sz="4" w:space="0"/>
              <w:right w:val="single" w:color="auto" w:sz="4" w:space="0"/>
            </w:tcBorders>
            <w:noWrap/>
            <w:vAlign w:val="center"/>
          </w:tcPr>
          <w:p>
            <w:pPr>
              <w:tabs>
                <w:tab w:val="left" w:pos="2160"/>
              </w:tabs>
              <w:topLinePunct/>
              <w:autoSpaceDE w:val="0"/>
              <w:autoSpaceDN w:val="0"/>
              <w:adjustRightInd w:val="0"/>
              <w:snapToGrid w:val="0"/>
              <w:rPr>
                <w:rFonts w:hint="eastAsia"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定价方式</w:t>
            </w:r>
          </w:p>
        </w:tc>
        <w:tc>
          <w:tcPr>
            <w:tcW w:w="5779" w:type="dxa"/>
            <w:gridSpan w:val="3"/>
            <w:tcBorders>
              <w:top w:val="single" w:color="auto" w:sz="4" w:space="0"/>
              <w:left w:val="single" w:color="auto" w:sz="4" w:space="0"/>
              <w:bottom w:val="single" w:color="auto" w:sz="4" w:space="0"/>
              <w:right w:val="single" w:color="auto" w:sz="4" w:space="0"/>
            </w:tcBorders>
            <w:noWrap/>
            <w:vAlign w:val="center"/>
          </w:tcPr>
          <w:p>
            <w:pPr>
              <w:tabs>
                <w:tab w:val="left" w:pos="2160"/>
              </w:tabs>
              <w:topLinePunct/>
              <w:autoSpaceDE w:val="0"/>
              <w:autoSpaceDN w:val="0"/>
              <w:adjustRightInd w:val="0"/>
              <w:snapToGrid w:val="0"/>
              <w:rPr>
                <w:rFonts w:hint="eastAsia"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right w:val="single" w:color="auto" w:sz="4"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909" w:type="dxa"/>
            <w:gridSpan w:val="2"/>
            <w:tcBorders>
              <w:top w:val="single" w:color="auto" w:sz="4" w:space="0"/>
              <w:left w:val="single" w:color="auto" w:sz="4" w:space="0"/>
              <w:bottom w:val="single" w:color="auto" w:sz="6" w:space="0"/>
              <w:right w:val="single" w:color="auto" w:sz="6"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甲方名称</w:t>
            </w:r>
          </w:p>
        </w:tc>
        <w:tc>
          <w:tcPr>
            <w:tcW w:w="5779" w:type="dxa"/>
            <w:gridSpan w:val="3"/>
            <w:tcBorders>
              <w:top w:val="single" w:color="auto" w:sz="4" w:space="0"/>
              <w:left w:val="single" w:color="auto" w:sz="6" w:space="0"/>
              <w:bottom w:val="single" w:color="auto" w:sz="6" w:space="0"/>
              <w:right w:val="single" w:color="auto" w:sz="4" w:space="0"/>
            </w:tcBorders>
            <w:noWrap/>
            <w:vAlign w:val="center"/>
          </w:tcPr>
          <w:p>
            <w:pPr>
              <w:tabs>
                <w:tab w:val="left" w:pos="700"/>
              </w:tabs>
              <w:adjustRightInd w:val="0"/>
              <w:snapToGrid w:val="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ign w:val="center"/>
          </w:tcPr>
          <w:p>
            <w:pPr>
              <w:widowControl/>
              <w:adjustRightInd w:val="0"/>
              <w:snapToGrid w:val="0"/>
              <w:rPr>
                <w:rFonts w:hint="eastAsia" w:ascii="宋体" w:hAnsi="宋体" w:eastAsia="宋体" w:cs="宋体"/>
                <w:color w:val="auto"/>
                <w:szCs w:val="21"/>
                <w:highlight w:val="none"/>
              </w:rPr>
            </w:pPr>
          </w:p>
        </w:tc>
        <w:tc>
          <w:tcPr>
            <w:tcW w:w="1909" w:type="dxa"/>
            <w:gridSpan w:val="2"/>
            <w:tcBorders>
              <w:top w:val="single" w:color="auto" w:sz="6" w:space="0"/>
              <w:left w:val="single" w:color="auto" w:sz="4" w:space="0"/>
              <w:bottom w:val="single" w:color="auto" w:sz="6" w:space="0"/>
              <w:right w:val="single" w:color="auto" w:sz="6"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甲方地址</w:t>
            </w:r>
          </w:p>
        </w:tc>
        <w:tc>
          <w:tcPr>
            <w:tcW w:w="5779" w:type="dxa"/>
            <w:gridSpan w:val="3"/>
            <w:tcBorders>
              <w:top w:val="single" w:color="auto" w:sz="6" w:space="0"/>
              <w:left w:val="single" w:color="auto" w:sz="6" w:space="0"/>
              <w:bottom w:val="single" w:color="auto" w:sz="6" w:space="0"/>
              <w:right w:val="single" w:color="auto" w:sz="4" w:space="0"/>
            </w:tcBorders>
            <w:noWrap/>
            <w:vAlign w:val="center"/>
          </w:tcPr>
          <w:p>
            <w:pPr>
              <w:tabs>
                <w:tab w:val="left" w:pos="700"/>
              </w:tabs>
              <w:adjustRightInd w:val="0"/>
              <w:snapToGrid w:val="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ign w:val="center"/>
          </w:tcPr>
          <w:p>
            <w:pPr>
              <w:widowControl/>
              <w:adjustRightInd w:val="0"/>
              <w:snapToGrid w:val="0"/>
              <w:rPr>
                <w:rFonts w:hint="eastAsia" w:ascii="宋体" w:hAnsi="宋体" w:eastAsia="宋体" w:cs="宋体"/>
                <w:color w:val="auto"/>
                <w:szCs w:val="21"/>
                <w:highlight w:val="none"/>
              </w:rPr>
            </w:pPr>
          </w:p>
        </w:tc>
        <w:tc>
          <w:tcPr>
            <w:tcW w:w="409" w:type="dxa"/>
            <w:vMerge w:val="restart"/>
            <w:tcBorders>
              <w:top w:val="single" w:color="auto" w:sz="6"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甲方相关部门</w:t>
            </w:r>
          </w:p>
        </w:tc>
        <w:tc>
          <w:tcPr>
            <w:tcW w:w="1500" w:type="dxa"/>
            <w:tcBorders>
              <w:top w:val="single" w:color="auto" w:sz="6" w:space="0"/>
              <w:left w:val="single" w:color="auto" w:sz="4" w:space="0"/>
              <w:bottom w:val="single" w:color="auto" w:sz="6" w:space="0"/>
              <w:right w:val="single" w:color="auto" w:sz="6"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甲方采购部门</w:t>
            </w:r>
          </w:p>
        </w:tc>
        <w:tc>
          <w:tcPr>
            <w:tcW w:w="5779" w:type="dxa"/>
            <w:gridSpan w:val="3"/>
            <w:tcBorders>
              <w:top w:val="single" w:color="auto" w:sz="6" w:space="0"/>
              <w:left w:val="single" w:color="auto" w:sz="6" w:space="0"/>
              <w:bottom w:val="single" w:color="auto" w:sz="6" w:space="0"/>
              <w:right w:val="single" w:color="auto" w:sz="4" w:space="0"/>
            </w:tcBorders>
            <w:noWrap/>
            <w:vAlign w:val="center"/>
          </w:tcPr>
          <w:p>
            <w:pPr>
              <w:tabs>
                <w:tab w:val="left" w:pos="700"/>
              </w:tabs>
              <w:adjustRightInd w:val="0"/>
              <w:snapToGrid w:val="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ign w:val="center"/>
          </w:tcPr>
          <w:p>
            <w:pPr>
              <w:widowControl/>
              <w:adjustRightInd w:val="0"/>
              <w:snapToGrid w:val="0"/>
              <w:rPr>
                <w:rFonts w:hint="eastAsia" w:ascii="宋体" w:hAnsi="宋体" w:eastAsia="宋体" w:cs="宋体"/>
                <w:color w:val="auto"/>
                <w:szCs w:val="21"/>
                <w:highlight w:val="none"/>
              </w:rPr>
            </w:pPr>
          </w:p>
        </w:tc>
        <w:tc>
          <w:tcPr>
            <w:tcW w:w="409" w:type="dxa"/>
            <w:vMerge w:val="continue"/>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p>
        </w:tc>
        <w:tc>
          <w:tcPr>
            <w:tcW w:w="1500" w:type="dxa"/>
            <w:tcBorders>
              <w:top w:val="single" w:color="auto" w:sz="6" w:space="0"/>
              <w:left w:val="single" w:color="auto" w:sz="4" w:space="0"/>
              <w:bottom w:val="single" w:color="auto" w:sz="6" w:space="0"/>
              <w:right w:val="single" w:color="auto" w:sz="6"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5779" w:type="dxa"/>
            <w:gridSpan w:val="3"/>
            <w:tcBorders>
              <w:top w:val="single" w:color="auto" w:sz="6" w:space="0"/>
              <w:left w:val="single" w:color="auto" w:sz="6" w:space="0"/>
              <w:bottom w:val="single" w:color="auto" w:sz="6" w:space="0"/>
              <w:right w:val="single" w:color="auto" w:sz="4" w:space="0"/>
            </w:tcBorders>
            <w:noWrap/>
            <w:vAlign w:val="center"/>
          </w:tcPr>
          <w:p>
            <w:pPr>
              <w:tabs>
                <w:tab w:val="left" w:pos="700"/>
              </w:tabs>
              <w:adjustRightInd w:val="0"/>
              <w:snapToGrid w:val="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ign w:val="center"/>
          </w:tcPr>
          <w:p>
            <w:pPr>
              <w:widowControl/>
              <w:adjustRightInd w:val="0"/>
              <w:snapToGrid w:val="0"/>
              <w:rPr>
                <w:rFonts w:hint="eastAsia" w:ascii="宋体" w:hAnsi="宋体" w:eastAsia="宋体" w:cs="宋体"/>
                <w:color w:val="auto"/>
                <w:szCs w:val="21"/>
                <w:highlight w:val="none"/>
              </w:rPr>
            </w:pPr>
          </w:p>
        </w:tc>
        <w:tc>
          <w:tcPr>
            <w:tcW w:w="409" w:type="dxa"/>
            <w:vMerge w:val="continue"/>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p>
        </w:tc>
        <w:tc>
          <w:tcPr>
            <w:tcW w:w="1500" w:type="dxa"/>
            <w:tcBorders>
              <w:top w:val="single" w:color="auto" w:sz="6" w:space="0"/>
              <w:left w:val="single" w:color="auto" w:sz="4" w:space="0"/>
              <w:bottom w:val="single" w:color="auto" w:sz="4" w:space="0"/>
              <w:right w:val="single" w:color="auto" w:sz="6"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5779" w:type="dxa"/>
            <w:gridSpan w:val="3"/>
            <w:tcBorders>
              <w:top w:val="single" w:color="auto" w:sz="6" w:space="0"/>
              <w:left w:val="single" w:color="auto" w:sz="6" w:space="0"/>
              <w:bottom w:val="single" w:color="auto" w:sz="4" w:space="0"/>
              <w:right w:val="single" w:color="auto" w:sz="4" w:space="0"/>
            </w:tcBorders>
            <w:noWrap/>
            <w:vAlign w:val="center"/>
          </w:tcPr>
          <w:p>
            <w:pPr>
              <w:tabs>
                <w:tab w:val="left" w:pos="700"/>
              </w:tabs>
              <w:adjustRightInd w:val="0"/>
              <w:snapToGrid w:val="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ign w:val="center"/>
          </w:tcPr>
          <w:p>
            <w:pPr>
              <w:widowControl/>
              <w:adjustRightInd w:val="0"/>
              <w:snapToGrid w:val="0"/>
              <w:rPr>
                <w:rFonts w:hint="eastAsia" w:ascii="宋体" w:hAnsi="宋体" w:eastAsia="宋体" w:cs="宋体"/>
                <w:color w:val="auto"/>
                <w:szCs w:val="21"/>
                <w:highlight w:val="none"/>
              </w:rPr>
            </w:pPr>
          </w:p>
        </w:tc>
        <w:tc>
          <w:tcPr>
            <w:tcW w:w="409" w:type="dxa"/>
            <w:vMerge w:val="continue"/>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p>
        </w:tc>
        <w:tc>
          <w:tcPr>
            <w:tcW w:w="1500" w:type="dxa"/>
            <w:tcBorders>
              <w:top w:val="single" w:color="auto" w:sz="6" w:space="0"/>
              <w:left w:val="single" w:color="auto" w:sz="4" w:space="0"/>
              <w:bottom w:val="single" w:color="auto" w:sz="4" w:space="0"/>
              <w:right w:val="single" w:color="auto" w:sz="6"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甲方需求部门</w:t>
            </w:r>
          </w:p>
        </w:tc>
        <w:tc>
          <w:tcPr>
            <w:tcW w:w="5779" w:type="dxa"/>
            <w:gridSpan w:val="3"/>
            <w:tcBorders>
              <w:top w:val="single" w:color="auto" w:sz="6" w:space="0"/>
              <w:left w:val="single" w:color="auto" w:sz="6" w:space="0"/>
              <w:bottom w:val="single" w:color="auto" w:sz="4" w:space="0"/>
              <w:right w:val="single" w:color="auto" w:sz="4" w:space="0"/>
            </w:tcBorders>
            <w:noWrap/>
            <w:vAlign w:val="center"/>
          </w:tcPr>
          <w:p>
            <w:pPr>
              <w:tabs>
                <w:tab w:val="left" w:pos="700"/>
              </w:tabs>
              <w:adjustRightInd w:val="0"/>
              <w:snapToGrid w:val="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ign w:val="center"/>
          </w:tcPr>
          <w:p>
            <w:pPr>
              <w:widowControl/>
              <w:adjustRightInd w:val="0"/>
              <w:snapToGrid w:val="0"/>
              <w:rPr>
                <w:rFonts w:hint="eastAsia" w:ascii="宋体" w:hAnsi="宋体" w:eastAsia="宋体" w:cs="宋体"/>
                <w:color w:val="auto"/>
                <w:szCs w:val="21"/>
                <w:highlight w:val="none"/>
              </w:rPr>
            </w:pPr>
          </w:p>
        </w:tc>
        <w:tc>
          <w:tcPr>
            <w:tcW w:w="409" w:type="dxa"/>
            <w:vMerge w:val="continue"/>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p>
        </w:tc>
        <w:tc>
          <w:tcPr>
            <w:tcW w:w="1500" w:type="dxa"/>
            <w:tcBorders>
              <w:top w:val="single" w:color="auto" w:sz="6" w:space="0"/>
              <w:left w:val="single" w:color="auto" w:sz="4" w:space="0"/>
              <w:bottom w:val="single" w:color="auto" w:sz="4" w:space="0"/>
              <w:right w:val="single" w:color="auto" w:sz="6"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5779" w:type="dxa"/>
            <w:gridSpan w:val="3"/>
            <w:tcBorders>
              <w:top w:val="single" w:color="auto" w:sz="6" w:space="0"/>
              <w:left w:val="single" w:color="auto" w:sz="6" w:space="0"/>
              <w:bottom w:val="single" w:color="auto" w:sz="4" w:space="0"/>
              <w:right w:val="single" w:color="auto" w:sz="4" w:space="0"/>
            </w:tcBorders>
            <w:noWrap/>
            <w:vAlign w:val="center"/>
          </w:tcPr>
          <w:p>
            <w:pPr>
              <w:tabs>
                <w:tab w:val="left" w:pos="700"/>
              </w:tabs>
              <w:adjustRightInd w:val="0"/>
              <w:snapToGrid w:val="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ign w:val="center"/>
          </w:tcPr>
          <w:p>
            <w:pPr>
              <w:widowControl/>
              <w:adjustRightInd w:val="0"/>
              <w:snapToGrid w:val="0"/>
              <w:rPr>
                <w:rFonts w:hint="eastAsia" w:ascii="宋体" w:hAnsi="宋体" w:eastAsia="宋体" w:cs="宋体"/>
                <w:color w:val="auto"/>
                <w:szCs w:val="21"/>
                <w:highlight w:val="none"/>
              </w:rPr>
            </w:pPr>
          </w:p>
        </w:tc>
        <w:tc>
          <w:tcPr>
            <w:tcW w:w="409" w:type="dxa"/>
            <w:vMerge w:val="continue"/>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p>
        </w:tc>
        <w:tc>
          <w:tcPr>
            <w:tcW w:w="1500" w:type="dxa"/>
            <w:tcBorders>
              <w:top w:val="single" w:color="auto" w:sz="6" w:space="0"/>
              <w:left w:val="single" w:color="auto" w:sz="4" w:space="0"/>
              <w:bottom w:val="single" w:color="auto" w:sz="4" w:space="0"/>
              <w:right w:val="single" w:color="auto" w:sz="6"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5779" w:type="dxa"/>
            <w:gridSpan w:val="3"/>
            <w:tcBorders>
              <w:top w:val="single" w:color="auto" w:sz="6" w:space="0"/>
              <w:left w:val="single" w:color="auto" w:sz="6" w:space="0"/>
              <w:bottom w:val="single" w:color="auto" w:sz="4" w:space="0"/>
              <w:right w:val="single" w:color="auto" w:sz="4" w:space="0"/>
            </w:tcBorders>
            <w:noWrap/>
            <w:vAlign w:val="center"/>
          </w:tcPr>
          <w:p>
            <w:pPr>
              <w:tabs>
                <w:tab w:val="left" w:pos="700"/>
              </w:tabs>
              <w:adjustRightInd w:val="0"/>
              <w:snapToGrid w:val="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ign w:val="center"/>
          </w:tcPr>
          <w:p>
            <w:pPr>
              <w:widowControl/>
              <w:adjustRightInd w:val="0"/>
              <w:snapToGrid w:val="0"/>
              <w:rPr>
                <w:rFonts w:hint="eastAsia" w:ascii="宋体" w:hAnsi="宋体" w:eastAsia="宋体" w:cs="宋体"/>
                <w:color w:val="auto"/>
                <w:szCs w:val="21"/>
                <w:highlight w:val="none"/>
              </w:rPr>
            </w:pPr>
          </w:p>
        </w:tc>
        <w:tc>
          <w:tcPr>
            <w:tcW w:w="1909" w:type="dxa"/>
            <w:gridSpan w:val="2"/>
            <w:tcBorders>
              <w:top w:val="single" w:color="auto" w:sz="4" w:space="0"/>
              <w:left w:val="single" w:color="auto" w:sz="4" w:space="0"/>
              <w:bottom w:val="single" w:color="auto" w:sz="4" w:space="0"/>
              <w:right w:val="single" w:color="auto" w:sz="6"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开户名称</w:t>
            </w:r>
          </w:p>
        </w:tc>
        <w:tc>
          <w:tcPr>
            <w:tcW w:w="2433" w:type="dxa"/>
            <w:tcBorders>
              <w:top w:val="single" w:color="auto" w:sz="6" w:space="0"/>
              <w:left w:val="single" w:color="auto" w:sz="6" w:space="0"/>
              <w:bottom w:val="single" w:color="auto" w:sz="4" w:space="0"/>
              <w:right w:val="single" w:color="auto" w:sz="4" w:space="0"/>
            </w:tcBorders>
            <w:noWrap/>
            <w:vAlign w:val="center"/>
          </w:tcPr>
          <w:p>
            <w:pPr>
              <w:tabs>
                <w:tab w:val="left" w:pos="700"/>
              </w:tabs>
              <w:adjustRightInd w:val="0"/>
              <w:snapToGrid w:val="0"/>
              <w:rPr>
                <w:rFonts w:hint="eastAsia" w:ascii="宋体" w:hAnsi="宋体" w:eastAsia="宋体" w:cs="宋体"/>
                <w:color w:val="auto"/>
                <w:szCs w:val="21"/>
                <w:highlight w:val="none"/>
              </w:rPr>
            </w:pPr>
          </w:p>
        </w:tc>
        <w:tc>
          <w:tcPr>
            <w:tcW w:w="1395" w:type="dxa"/>
            <w:tcBorders>
              <w:top w:val="single" w:color="auto" w:sz="6" w:space="0"/>
              <w:left w:val="single" w:color="auto" w:sz="6" w:space="0"/>
              <w:bottom w:val="single" w:color="auto" w:sz="4" w:space="0"/>
              <w:right w:val="single" w:color="auto" w:sz="4"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1951" w:type="dxa"/>
            <w:tcBorders>
              <w:top w:val="single" w:color="auto" w:sz="6" w:space="0"/>
              <w:left w:val="single" w:color="auto" w:sz="6" w:space="0"/>
              <w:bottom w:val="single" w:color="auto" w:sz="4" w:space="0"/>
              <w:right w:val="single" w:color="auto" w:sz="4" w:space="0"/>
            </w:tcBorders>
            <w:noWrap/>
            <w:vAlign w:val="center"/>
          </w:tcPr>
          <w:p>
            <w:pPr>
              <w:tabs>
                <w:tab w:val="left" w:pos="700"/>
              </w:tabs>
              <w:adjustRightInd w:val="0"/>
              <w:snapToGrid w:val="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bottom w:val="single" w:color="auto" w:sz="4" w:space="0"/>
              <w:right w:val="single" w:color="auto" w:sz="4" w:space="0"/>
            </w:tcBorders>
            <w:noWrap/>
            <w:vAlign w:val="center"/>
          </w:tcPr>
          <w:p>
            <w:pPr>
              <w:widowControl/>
              <w:adjustRightInd w:val="0"/>
              <w:snapToGrid w:val="0"/>
              <w:rPr>
                <w:rFonts w:hint="eastAsia" w:ascii="宋体" w:hAnsi="宋体" w:eastAsia="宋体" w:cs="宋体"/>
                <w:color w:val="auto"/>
                <w:szCs w:val="21"/>
                <w:highlight w:val="none"/>
              </w:rPr>
            </w:pPr>
          </w:p>
        </w:tc>
        <w:tc>
          <w:tcPr>
            <w:tcW w:w="1909" w:type="dxa"/>
            <w:gridSpan w:val="2"/>
            <w:tcBorders>
              <w:top w:val="single" w:color="auto" w:sz="4" w:space="0"/>
              <w:left w:val="single" w:color="auto" w:sz="4" w:space="0"/>
              <w:bottom w:val="single" w:color="auto" w:sz="4" w:space="0"/>
              <w:right w:val="single" w:color="auto" w:sz="6"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开户账号</w:t>
            </w:r>
          </w:p>
        </w:tc>
        <w:tc>
          <w:tcPr>
            <w:tcW w:w="5779" w:type="dxa"/>
            <w:gridSpan w:val="3"/>
            <w:tcBorders>
              <w:top w:val="single" w:color="auto" w:sz="6" w:space="0"/>
              <w:left w:val="single" w:color="auto" w:sz="6" w:space="0"/>
              <w:bottom w:val="single" w:color="auto" w:sz="4" w:space="0"/>
              <w:right w:val="single" w:color="auto" w:sz="4" w:space="0"/>
            </w:tcBorders>
            <w:noWrap/>
            <w:vAlign w:val="center"/>
          </w:tcPr>
          <w:p>
            <w:pPr>
              <w:tabs>
                <w:tab w:val="left" w:pos="700"/>
              </w:tabs>
              <w:adjustRightInd w:val="0"/>
              <w:snapToGrid w:val="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right w:val="single" w:color="auto" w:sz="4"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乙方名称</w:t>
            </w:r>
          </w:p>
        </w:tc>
        <w:tc>
          <w:tcPr>
            <w:tcW w:w="5779" w:type="dxa"/>
            <w:gridSpan w:val="3"/>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655" w:type="dxa"/>
            <w:vMerge w:val="continue"/>
            <w:tcBorders>
              <w:left w:val="single" w:color="auto" w:sz="4" w:space="0"/>
              <w:right w:val="single" w:color="auto" w:sz="4" w:space="0"/>
            </w:tcBorders>
            <w:noWrap/>
            <w:vAlign w:val="center"/>
          </w:tcPr>
          <w:p>
            <w:pPr>
              <w:widowControl/>
              <w:adjustRightInd w:val="0"/>
              <w:snapToGrid w:val="0"/>
              <w:rPr>
                <w:rFonts w:hint="eastAsia" w:ascii="宋体" w:hAnsi="宋体" w:eastAsia="宋体" w:cs="宋体"/>
                <w:color w:val="auto"/>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乙方企业性质</w:t>
            </w:r>
          </w:p>
        </w:tc>
        <w:tc>
          <w:tcPr>
            <w:tcW w:w="5779" w:type="dxa"/>
            <w:gridSpan w:val="3"/>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Cs w:val="21"/>
                <w:highlight w:val="none"/>
              </w:rPr>
              <w:t>中型企业</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Cs w:val="21"/>
                <w:highlight w:val="none"/>
              </w:rPr>
              <w:t>小型企业</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Cs w:val="21"/>
                <w:highlight w:val="none"/>
              </w:rPr>
              <w:t xml:space="preserve">微型企业    </w:t>
            </w:r>
          </w:p>
          <w:p>
            <w:pPr>
              <w:tabs>
                <w:tab w:val="left" w:pos="700"/>
              </w:tabs>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Cs w:val="21"/>
                <w:highlight w:val="none"/>
              </w:rPr>
              <w:t>监狱企业</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Cs w:val="21"/>
                <w:highlight w:val="none"/>
              </w:rPr>
              <w:t xml:space="preserve">残疾人福利性单位    </w:t>
            </w:r>
            <w:r>
              <w:rPr>
                <w:rFonts w:hint="eastAsia" w:ascii="宋体" w:hAnsi="宋体" w:eastAsia="宋体" w:cs="宋体"/>
                <w:color w:val="auto"/>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ign w:val="center"/>
          </w:tcPr>
          <w:p>
            <w:pPr>
              <w:widowControl/>
              <w:adjustRightInd w:val="0"/>
              <w:snapToGrid w:val="0"/>
              <w:rPr>
                <w:rFonts w:hint="eastAsia" w:ascii="宋体" w:hAnsi="宋体" w:eastAsia="宋体" w:cs="宋体"/>
                <w:color w:val="auto"/>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乙方地址</w:t>
            </w:r>
          </w:p>
        </w:tc>
        <w:tc>
          <w:tcPr>
            <w:tcW w:w="5779" w:type="dxa"/>
            <w:gridSpan w:val="3"/>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ign w:val="center"/>
          </w:tcPr>
          <w:p>
            <w:pPr>
              <w:widowControl/>
              <w:adjustRightInd w:val="0"/>
              <w:snapToGrid w:val="0"/>
              <w:rPr>
                <w:rFonts w:hint="eastAsia" w:ascii="宋体" w:hAnsi="宋体" w:eastAsia="宋体" w:cs="宋体"/>
                <w:color w:val="auto"/>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乙方联系人</w:t>
            </w:r>
          </w:p>
        </w:tc>
        <w:tc>
          <w:tcPr>
            <w:tcW w:w="5779" w:type="dxa"/>
            <w:gridSpan w:val="3"/>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ign w:val="center"/>
          </w:tcPr>
          <w:p>
            <w:pPr>
              <w:widowControl/>
              <w:adjustRightInd w:val="0"/>
              <w:snapToGrid w:val="0"/>
              <w:rPr>
                <w:rFonts w:hint="eastAsia" w:ascii="宋体" w:hAnsi="宋体" w:eastAsia="宋体" w:cs="宋体"/>
                <w:color w:val="auto"/>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5779" w:type="dxa"/>
            <w:gridSpan w:val="3"/>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ign w:val="center"/>
          </w:tcPr>
          <w:p>
            <w:pPr>
              <w:widowControl/>
              <w:adjustRightInd w:val="0"/>
              <w:snapToGrid w:val="0"/>
              <w:rPr>
                <w:rFonts w:hint="eastAsia" w:ascii="宋体" w:hAnsi="宋体" w:eastAsia="宋体" w:cs="宋体"/>
                <w:color w:val="auto"/>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tc>
        <w:tc>
          <w:tcPr>
            <w:tcW w:w="5779" w:type="dxa"/>
            <w:gridSpan w:val="3"/>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ign w:val="center"/>
          </w:tcPr>
          <w:p>
            <w:pPr>
              <w:widowControl/>
              <w:adjustRightInd w:val="0"/>
              <w:snapToGrid w:val="0"/>
              <w:rPr>
                <w:rFonts w:hint="eastAsia" w:ascii="宋体" w:hAnsi="宋体" w:eastAsia="宋体" w:cs="宋体"/>
                <w:color w:val="auto"/>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开户名称</w:t>
            </w:r>
          </w:p>
        </w:tc>
        <w:tc>
          <w:tcPr>
            <w:tcW w:w="2433" w:type="dxa"/>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rPr>
                <w:rFonts w:hint="eastAsia" w:ascii="宋体" w:hAnsi="宋体" w:eastAsia="宋体" w:cs="宋体"/>
                <w:color w:val="auto"/>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1951" w:type="dxa"/>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bottom w:val="single" w:color="auto" w:sz="4" w:space="0"/>
              <w:right w:val="single" w:color="auto" w:sz="4" w:space="0"/>
            </w:tcBorders>
            <w:noWrap/>
            <w:vAlign w:val="center"/>
          </w:tcPr>
          <w:p>
            <w:pPr>
              <w:widowControl/>
              <w:adjustRightInd w:val="0"/>
              <w:snapToGrid w:val="0"/>
              <w:rPr>
                <w:rFonts w:hint="eastAsia" w:ascii="宋体" w:hAnsi="宋体" w:eastAsia="宋体" w:cs="宋体"/>
                <w:color w:val="auto"/>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开户账号</w:t>
            </w:r>
          </w:p>
        </w:tc>
        <w:tc>
          <w:tcPr>
            <w:tcW w:w="5779" w:type="dxa"/>
            <w:gridSpan w:val="3"/>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55" w:type="dxa"/>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合同金额</w:t>
            </w:r>
          </w:p>
        </w:tc>
        <w:tc>
          <w:tcPr>
            <w:tcW w:w="5779" w:type="dxa"/>
            <w:gridSpan w:val="3"/>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元</w:t>
            </w:r>
            <w:r>
              <w:rPr>
                <w:rFonts w:hint="eastAsia" w:ascii="宋体" w:hAnsi="宋体" w:eastAsia="宋体" w:cs="宋体"/>
                <w:color w:val="auto"/>
                <w:sz w:val="21"/>
                <w:szCs w:val="21"/>
                <w:highlight w:val="none"/>
              </w:rPr>
              <w:t>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5" w:type="dxa"/>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服务内容</w:t>
            </w:r>
          </w:p>
        </w:tc>
        <w:tc>
          <w:tcPr>
            <w:tcW w:w="5779" w:type="dxa"/>
            <w:gridSpan w:val="3"/>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概述服务内容，详见招标文件采购需求。</w:t>
            </w:r>
          </w:p>
          <w:p>
            <w:pPr>
              <w:tabs>
                <w:tab w:val="left" w:pos="700"/>
              </w:tabs>
              <w:adjustRightInd w:val="0"/>
              <w:snapToGrid w:val="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655" w:type="dxa"/>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合同付款</w:t>
            </w:r>
          </w:p>
        </w:tc>
        <w:tc>
          <w:tcPr>
            <w:tcW w:w="5779" w:type="dxa"/>
            <w:gridSpan w:val="3"/>
            <w:tcBorders>
              <w:top w:val="single" w:color="auto" w:sz="4" w:space="0"/>
              <w:left w:val="single" w:color="auto" w:sz="4" w:space="0"/>
              <w:bottom w:val="single" w:color="auto" w:sz="4" w:space="0"/>
              <w:right w:val="single" w:color="auto" w:sz="4" w:space="0"/>
            </w:tcBorders>
            <w:noWrap/>
            <w:vAlign w:val="center"/>
          </w:tcPr>
          <w:p>
            <w:pPr>
              <w:pStyle w:val="24"/>
              <w:tabs>
                <w:tab w:val="left" w:pos="840"/>
              </w:tabs>
              <w:adjustRightInd w:val="0"/>
              <w:snapToGrid w:val="0"/>
              <w:ind w:firstLine="420" w:firstLineChars="200"/>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签订合同后15日内支付合同款项的20%；签订合同后第</w:t>
            </w:r>
            <w:r>
              <w:rPr>
                <w:rFonts w:hint="eastAsia" w:ascii="宋体" w:hAnsi="宋体" w:eastAsia="宋体" w:cs="宋体"/>
                <w:color w:val="auto"/>
                <w:sz w:val="21"/>
                <w:szCs w:val="21"/>
                <w:highlight w:val="none"/>
                <w:lang w:val="en-US" w:eastAsia="zh-CN"/>
              </w:rPr>
              <w:t>6月</w:t>
            </w:r>
            <w:r>
              <w:rPr>
                <w:rFonts w:hint="eastAsia" w:ascii="宋体" w:hAnsi="宋体" w:eastAsia="宋体" w:cs="宋体"/>
                <w:color w:val="auto"/>
                <w:sz w:val="21"/>
                <w:szCs w:val="21"/>
                <w:highlight w:val="none"/>
                <w:lang w:val="zh-CN" w:eastAsia="zh-CN"/>
              </w:rPr>
              <w:t>内支付合同款项的30%；签订合同后第9个月内支付合同款项的20%；项目验收合格后支付剩余合同款。</w:t>
            </w:r>
          </w:p>
          <w:p>
            <w:pPr>
              <w:pStyle w:val="24"/>
              <w:tabs>
                <w:tab w:val="left" w:pos="840"/>
              </w:tabs>
              <w:adjustRightInd w:val="0"/>
              <w:snapToGrid w:val="0"/>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付款前，供应商应向采购人开具等额有效的增值税发票，采购人未收到发票的，有权不予支付相应款项直至供应商提供合格发票，并不承担延迟付款责任</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655" w:type="dxa"/>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履约保证金及返还</w:t>
            </w:r>
          </w:p>
        </w:tc>
        <w:tc>
          <w:tcPr>
            <w:tcW w:w="5779" w:type="dxa"/>
            <w:gridSpan w:val="3"/>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本项目不要求提供履约保证金。</w:t>
            </w:r>
          </w:p>
          <w:p>
            <w:pPr>
              <w:tabs>
                <w:tab w:val="left" w:pos="700"/>
              </w:tabs>
              <w:wordWrap w:val="0"/>
              <w:adjustRightInd w:val="0"/>
              <w:snapToGrid w:val="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本项目要求提供履约保证金。履约保证金为合同总金额</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%，即人民币</w:t>
            </w:r>
            <w:r>
              <w:rPr>
                <w:rFonts w:hint="eastAsia" w:ascii="宋体" w:hAnsi="宋体" w:eastAsia="宋体" w:cs="宋体"/>
                <w:color w:val="auto"/>
                <w:sz w:val="21"/>
                <w:szCs w:val="21"/>
                <w:highlight w:val="none"/>
                <w:u w:val="single"/>
                <w:lang w:val="en"/>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lang w:val="en"/>
              </w:rPr>
              <w:t xml:space="preserve">  </w:t>
            </w:r>
            <w:r>
              <w:rPr>
                <w:rFonts w:hint="eastAsia" w:ascii="宋体" w:hAnsi="宋体" w:eastAsia="宋体" w:cs="宋体"/>
                <w:color w:val="auto"/>
                <w:sz w:val="21"/>
                <w:szCs w:val="21"/>
                <w:highlight w:val="none"/>
                <w:u w:val="none"/>
                <w:lang w:val="en" w:eastAsia="zh-CN"/>
              </w:rPr>
              <w:t>元</w:t>
            </w:r>
            <w:r>
              <w:rPr>
                <w:rFonts w:hint="eastAsia" w:ascii="宋体" w:hAnsi="宋体" w:eastAsia="宋体" w:cs="宋体"/>
                <w:color w:val="auto"/>
                <w:sz w:val="21"/>
                <w:szCs w:val="21"/>
                <w:highlight w:val="none"/>
              </w:rPr>
              <w:t>整（¥</w:t>
            </w:r>
            <w:r>
              <w:rPr>
                <w:rFonts w:hint="eastAsia" w:ascii="宋体" w:hAnsi="宋体" w:eastAsia="宋体" w:cs="宋体"/>
                <w:color w:val="auto"/>
                <w:sz w:val="21"/>
                <w:szCs w:val="21"/>
                <w:highlight w:val="none"/>
                <w:u w:val="single"/>
                <w:lang w:val="en"/>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lang w:val="e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rPr>
              <w:t xml:space="preserve"> </w:t>
            </w:r>
            <w:r>
              <w:rPr>
                <w:rFonts w:hint="eastAsia" w:ascii="宋体" w:hAnsi="宋体" w:eastAsia="宋体" w:cs="宋体"/>
                <w:color w:val="auto"/>
                <w:szCs w:val="21"/>
                <w:highlight w:val="none"/>
              </w:rPr>
              <w:t>），乙方应在合同签订之日起 10日内提交甲方。提交方式为银行电汇、金融机构或担保机构出具的保函。在合同履行期满，扣除应扣除的款项（如有）且双方无争议后，无息返还。</w:t>
            </w:r>
          </w:p>
          <w:p>
            <w:pPr>
              <w:tabs>
                <w:tab w:val="left" w:pos="700"/>
              </w:tabs>
              <w:wordWrap w:val="0"/>
              <w:adjustRightInd w:val="0"/>
              <w:snapToGrid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办理返还履约保证金时，乙方应提供履约保证金返还申请（格式另附）、合同或合同关键页复印件、合同约定的其他资料。涉及验收的，应同时提交甲方需求部门出具的项目终验意见或质量保证期（服务期）满验收意见。</w:t>
            </w:r>
          </w:p>
          <w:p>
            <w:pPr>
              <w:tabs>
                <w:tab w:val="left" w:pos="700"/>
              </w:tabs>
              <w:wordWrap w:val="0"/>
              <w:adjustRightInd w:val="0"/>
              <w:snapToGrid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满足履约保证金返还条件的，甲方在收到返还相关信息等合同约定资料后，进行核实。对核实结果无异议的，自完成核实之日起10日内，以</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Cs w:val="21"/>
                <w:highlight w:val="none"/>
              </w:rPr>
              <w:t>方式返还履约保证金或退回保函。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55" w:type="dxa"/>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合同履行期限</w:t>
            </w:r>
          </w:p>
        </w:tc>
        <w:tc>
          <w:tcPr>
            <w:tcW w:w="5779" w:type="dxa"/>
            <w:gridSpan w:val="3"/>
            <w:tcBorders>
              <w:top w:val="single" w:color="auto" w:sz="4" w:space="0"/>
              <w:left w:val="single" w:color="auto" w:sz="4" w:space="0"/>
              <w:bottom w:val="single" w:color="auto" w:sz="4" w:space="0"/>
              <w:right w:val="single" w:color="auto" w:sz="4" w:space="0"/>
            </w:tcBorders>
            <w:noWrap/>
            <w:vAlign w:val="center"/>
          </w:tcPr>
          <w:p>
            <w:pPr>
              <w:pStyle w:val="1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服务时间、履行期：</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一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具体时间从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日起至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日止，即自合同生效之日起至合同全部权利义务履行完毕之日止。</w:t>
            </w:r>
          </w:p>
          <w:p>
            <w:pPr>
              <w:tabs>
                <w:tab w:val="left" w:pos="700"/>
              </w:tabs>
              <w:adjustRightInd w:val="0"/>
              <w:snapToGrid w:val="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合同期满，如甲方要求乙方继续提供本合同服务的，顺延至新的</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供应商提供服务之日或者甲方通知停止服务之日止。顺延期间，原合同服务内容、服务费用以及甲、乙双方的责任和义务等内容不变，但双方另有约定的除外。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55" w:type="dxa"/>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hint="eastAsia" w:ascii="宋体" w:hAnsi="宋体" w:eastAsia="宋体" w:cs="宋体"/>
                <w:color w:val="auto"/>
                <w:szCs w:val="21"/>
                <w:highlight w:val="none"/>
                <w:lang w:val="en"/>
              </w:rPr>
            </w:pPr>
            <w:r>
              <w:rPr>
                <w:rFonts w:hint="eastAsia" w:ascii="宋体" w:hAnsi="宋体" w:eastAsia="宋体" w:cs="宋体"/>
                <w:color w:val="auto"/>
                <w:szCs w:val="21"/>
                <w:highlight w:val="none"/>
              </w:rPr>
              <w:t>服务期</w:t>
            </w:r>
          </w:p>
        </w:tc>
        <w:tc>
          <w:tcPr>
            <w:tcW w:w="5779" w:type="dxa"/>
            <w:gridSpan w:val="3"/>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一</w:t>
            </w:r>
            <w:r>
              <w:rPr>
                <w:rFonts w:hint="eastAsia" w:ascii="宋体" w:hAnsi="宋体" w:eastAsia="宋体" w:cs="宋体"/>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合同履约地点</w:t>
            </w:r>
          </w:p>
        </w:tc>
        <w:tc>
          <w:tcPr>
            <w:tcW w:w="5779" w:type="dxa"/>
            <w:gridSpan w:val="3"/>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合同纠纷解决方式</w:t>
            </w:r>
          </w:p>
        </w:tc>
        <w:tc>
          <w:tcPr>
            <w:tcW w:w="5779" w:type="dxa"/>
            <w:gridSpan w:val="3"/>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甲乙双方应首先通过友好协商解决在执行本合同中所发生的或与本合同有关的一切争端。如从协商开始</w:t>
            </w:r>
            <w:r>
              <w:rPr>
                <w:rFonts w:hint="eastAsia" w:ascii="宋体" w:hAnsi="宋体" w:eastAsia="宋体" w:cs="宋体"/>
                <w:color w:val="auto"/>
                <w:sz w:val="21"/>
                <w:szCs w:val="21"/>
                <w:highlight w:val="none"/>
                <w:u w:val="single"/>
                <w:lang w:val="en-US" w:eastAsia="zh-CN"/>
              </w:rPr>
              <w:t xml:space="preserve"> 60 </w:t>
            </w:r>
            <w:r>
              <w:rPr>
                <w:rFonts w:hint="eastAsia" w:ascii="宋体" w:hAnsi="宋体" w:eastAsia="宋体" w:cs="宋体"/>
                <w:color w:val="auto"/>
                <w:szCs w:val="21"/>
                <w:highlight w:val="none"/>
              </w:rPr>
              <w:t>天内仍不能解决，可以选择以下途径之一解决纠纷：</w:t>
            </w:r>
          </w:p>
          <w:p>
            <w:pPr>
              <w:tabs>
                <w:tab w:val="left" w:pos="700"/>
              </w:tabs>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□向甲方所在地仲裁委员会或</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Cs w:val="21"/>
                <w:highlight w:val="none"/>
              </w:rPr>
              <w:t>仲裁委员会申请仲裁</w:t>
            </w:r>
          </w:p>
          <w:p>
            <w:pPr>
              <w:tabs>
                <w:tab w:val="left" w:pos="700"/>
              </w:tabs>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☑向甲方所在地人民法院或</w:t>
            </w:r>
            <w:r>
              <w:rPr>
                <w:rFonts w:hint="eastAsia" w:ascii="宋体" w:hAnsi="宋体" w:eastAsia="宋体" w:cs="宋体"/>
                <w:color w:val="auto"/>
                <w:highlight w:val="none"/>
              </w:rPr>
              <w:t>项目所在地有管辖权</w:t>
            </w:r>
            <w:r>
              <w:rPr>
                <w:rFonts w:hint="eastAsia" w:ascii="宋体" w:hAnsi="宋体" w:eastAsia="宋体" w:cs="宋体"/>
                <w:color w:val="auto"/>
                <w:szCs w:val="21"/>
                <w:highlight w:val="none"/>
              </w:rPr>
              <w:t>人民法院提起诉讼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违约责任</w:t>
            </w:r>
          </w:p>
        </w:tc>
        <w:tc>
          <w:tcPr>
            <w:tcW w:w="5779" w:type="dxa"/>
            <w:gridSpan w:val="3"/>
            <w:tcBorders>
              <w:top w:val="single" w:color="auto" w:sz="4" w:space="0"/>
              <w:left w:val="single" w:color="auto" w:sz="4" w:space="0"/>
              <w:bottom w:val="single" w:color="auto" w:sz="4" w:space="0"/>
              <w:right w:val="single" w:color="auto" w:sz="4" w:space="0"/>
            </w:tcBorders>
            <w:noWrap/>
            <w:vAlign w:val="center"/>
          </w:tcPr>
          <w:p>
            <w:pPr>
              <w:tabs>
                <w:tab w:val="left" w:pos="700"/>
              </w:tabs>
              <w:adjustRightInd w:val="0"/>
              <w:snapToGrid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甲方购买服务资金来源于地方政府拨付的经费，合同期间，如因政府原因，不再拨付该笔服务经费的，合同将停止，属外部不可控因素，甲方不支付任何违约金。甲方应按照实际产生的服务时间支付对应的服务费用。</w:t>
            </w:r>
          </w:p>
          <w:p>
            <w:pPr>
              <w:tabs>
                <w:tab w:val="left" w:pos="700"/>
              </w:tabs>
              <w:adjustRightInd w:val="0"/>
              <w:snapToGrid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如乙方未按本合同规定期限提交乙方派往甲方工作的人员的有关证明材料，又无正当理由的，甲方有权单方解除本合同，给甲方造成损失的，由乙方子以赔偿。</w:t>
            </w:r>
          </w:p>
          <w:p>
            <w:pPr>
              <w:tabs>
                <w:tab w:val="left" w:pos="700"/>
              </w:tabs>
              <w:adjustRightInd w:val="0"/>
              <w:snapToGrid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如乙方未按本合同规定与人员签订合同，或拖欠人员工资，甲方可责令其限期改正，乙方逾期未改的，甲方有权单方终止合同，给甲方造成损失的，由乙方子以赔偿。</w:t>
            </w:r>
          </w:p>
          <w:p>
            <w:pPr>
              <w:tabs>
                <w:tab w:val="left" w:pos="700"/>
              </w:tabs>
              <w:adjustRightInd w:val="0"/>
              <w:snapToGrid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乙方违反有关法律法规和本合同的其他规定的，甲方有权终止本协议的履行，给甲方造成损失的，由乙方赔偿损失。</w:t>
            </w:r>
          </w:p>
        </w:tc>
      </w:tr>
    </w:tbl>
    <w:p>
      <w:pPr>
        <w:tabs>
          <w:tab w:val="left" w:pos="700"/>
        </w:tabs>
        <w:topLinePunct/>
        <w:autoSpaceDE w:val="0"/>
        <w:autoSpaceDN w:val="0"/>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8"/>
          <w:highlight w:val="none"/>
        </w:rPr>
        <w:br w:type="page"/>
      </w:r>
    </w:p>
    <w:p>
      <w:pPr>
        <w:tabs>
          <w:tab w:val="left" w:pos="0"/>
        </w:tabs>
        <w:topLinePunct/>
        <w:autoSpaceDE w:val="0"/>
        <w:autoSpaceDN w:val="0"/>
        <w:spacing w:line="360" w:lineRule="auto"/>
        <w:jc w:val="center"/>
        <w:outlineLvl w:val="1"/>
        <w:rPr>
          <w:rFonts w:hint="eastAsia" w:ascii="宋体" w:hAnsi="宋体" w:eastAsia="宋体" w:cs="宋体"/>
          <w:b/>
          <w:color w:val="auto"/>
          <w:sz w:val="24"/>
          <w:highlight w:val="none"/>
        </w:rPr>
      </w:pPr>
      <w:bookmarkStart w:id="42" w:name="_Toc31079"/>
      <w:r>
        <w:rPr>
          <w:rFonts w:hint="eastAsia" w:ascii="宋体" w:hAnsi="宋体" w:eastAsia="宋体" w:cs="宋体"/>
          <w:b/>
          <w:color w:val="auto"/>
          <w:sz w:val="24"/>
          <w:highlight w:val="none"/>
        </w:rPr>
        <w:t>一   合  同</w:t>
      </w:r>
      <w:bookmarkEnd w:id="42"/>
      <w:r>
        <w:rPr>
          <w:rFonts w:hint="eastAsia" w:ascii="宋体" w:hAnsi="宋体" w:eastAsia="宋体" w:cs="宋体"/>
          <w:b/>
          <w:color w:val="auto"/>
          <w:sz w:val="24"/>
          <w:highlight w:val="none"/>
        </w:rPr>
        <w:t xml:space="preserve"> </w:t>
      </w:r>
    </w:p>
    <w:p>
      <w:pPr>
        <w:tabs>
          <w:tab w:val="left" w:pos="540"/>
        </w:tabs>
        <w:topLinePunct/>
        <w:autoSpaceDE w:val="0"/>
        <w:autoSpaceDN w:val="0"/>
        <w:spacing w:line="460" w:lineRule="exact"/>
        <w:rPr>
          <w:rFonts w:hint="eastAsia" w:ascii="宋体" w:hAnsi="宋体" w:eastAsia="宋体" w:cs="宋体"/>
          <w:b/>
          <w:color w:val="auto"/>
          <w:sz w:val="24"/>
          <w:highlight w:val="none"/>
        </w:rPr>
      </w:pPr>
    </w:p>
    <w:p>
      <w:pPr>
        <w:tabs>
          <w:tab w:val="left" w:pos="700"/>
        </w:tabs>
        <w:topLinePunct/>
        <w:autoSpaceDE w:val="0"/>
        <w:autoSpaceDN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国家税务总局南宁市税务局（以下简称“甲方”）通过磋商方式采购，确定</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Cs w:val="21"/>
          <w:highlight w:val="none"/>
        </w:rPr>
        <w:t>公司（以下简称“乙方”）为</w:t>
      </w:r>
      <w:r>
        <w:rPr>
          <w:rFonts w:hint="eastAsia" w:ascii="宋体" w:hAnsi="宋体" w:eastAsia="宋体" w:cs="宋体"/>
          <w:color w:val="auto"/>
          <w:sz w:val="21"/>
          <w:szCs w:val="21"/>
          <w:highlight w:val="none"/>
        </w:rPr>
        <w:t>《国家税务总局南宁市税务局专业媒体综合服务项目</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（成交）供应商。甲乙双方同意按照该项目招标（采购）文件约定的内容，签署《国家税务总局南宁市税务局专业媒体综合服务项目合同书》（合同编号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rPr>
        <w:t>，以下简称“合同”)。</w:t>
      </w:r>
    </w:p>
    <w:p>
      <w:pPr>
        <w:topLinePunct/>
        <w:autoSpaceDE w:val="0"/>
        <w:autoSpaceDN w:val="0"/>
        <w:snapToGrid w:val="0"/>
        <w:spacing w:line="360" w:lineRule="auto"/>
        <w:ind w:left="48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 合同文件</w:t>
      </w:r>
    </w:p>
    <w:p>
      <w:pPr>
        <w:tabs>
          <w:tab w:val="left" w:pos="700"/>
        </w:tabs>
        <w:topLinePunct/>
        <w:autoSpaceDE w:val="0"/>
        <w:autoSpaceDN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本合同所附下列文件是构成本合同不可分割的部分：</w:t>
      </w:r>
    </w:p>
    <w:p>
      <w:pPr>
        <w:tabs>
          <w:tab w:val="left" w:pos="700"/>
        </w:tabs>
        <w:topLinePunct/>
        <w:autoSpaceDE w:val="0"/>
        <w:autoSpaceDN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（1）合同通用条款；</w:t>
      </w:r>
    </w:p>
    <w:p>
      <w:pPr>
        <w:tabs>
          <w:tab w:val="left" w:pos="700"/>
        </w:tabs>
        <w:topLinePunct/>
        <w:autoSpaceDE w:val="0"/>
        <w:autoSpaceDN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（2）报价表（总报价表和分项报价表）；</w:t>
      </w:r>
    </w:p>
    <w:p>
      <w:pPr>
        <w:tabs>
          <w:tab w:val="left" w:pos="700"/>
        </w:tabs>
        <w:topLinePunct/>
        <w:autoSpaceDE w:val="0"/>
        <w:autoSpaceDN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（3）招标（采购）文件；</w:t>
      </w:r>
    </w:p>
    <w:p>
      <w:pPr>
        <w:tabs>
          <w:tab w:val="left" w:pos="700"/>
        </w:tabs>
        <w:topLinePunct/>
        <w:autoSpaceDE w:val="0"/>
        <w:autoSpaceDN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（4）投标（响应）文件。</w:t>
      </w:r>
    </w:p>
    <w:p>
      <w:pPr>
        <w:topLinePunct/>
        <w:autoSpaceDE w:val="0"/>
        <w:autoSpaceDN w:val="0"/>
        <w:snapToGrid w:val="0"/>
        <w:spacing w:line="360" w:lineRule="auto"/>
        <w:ind w:left="48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 合同范围和条件</w:t>
      </w:r>
    </w:p>
    <w:p>
      <w:pPr>
        <w:tabs>
          <w:tab w:val="left" w:pos="700"/>
        </w:tabs>
        <w:topLinePunct/>
        <w:autoSpaceDE w:val="0"/>
        <w:autoSpaceDN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本合同的范围和条件应与上述合同文件的规定相一致。</w:t>
      </w:r>
    </w:p>
    <w:p>
      <w:pPr>
        <w:tabs>
          <w:tab w:val="left" w:pos="700"/>
        </w:tabs>
        <w:topLinePunct/>
        <w:autoSpaceDE w:val="0"/>
        <w:autoSpaceDN w:val="0"/>
        <w:snapToGrid w:val="0"/>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 合同金额</w:t>
      </w:r>
    </w:p>
    <w:p>
      <w:pPr>
        <w:tabs>
          <w:tab w:val="left" w:pos="700"/>
        </w:tabs>
        <w:topLinePunct/>
        <w:autoSpaceDE w:val="0"/>
        <w:autoSpaceDN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本合同总金额为人民币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元</w:t>
      </w:r>
      <w:r>
        <w:rPr>
          <w:rFonts w:hint="eastAsia" w:ascii="宋体" w:hAnsi="宋体" w:eastAsia="宋体" w:cs="宋体"/>
          <w:color w:val="auto"/>
          <w:sz w:val="21"/>
          <w:szCs w:val="21"/>
          <w:highlight w:val="none"/>
        </w:rPr>
        <w:t>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Cs w:val="21"/>
          <w:highlight w:val="none"/>
        </w:rPr>
        <w:t>）。本项目以</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Cs w:val="21"/>
          <w:highlight w:val="none"/>
        </w:rPr>
        <w:t>个月为1个服务周期，每个服务周期合同金额为人民币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元</w:t>
      </w:r>
      <w:r>
        <w:rPr>
          <w:rFonts w:hint="eastAsia" w:ascii="宋体" w:hAnsi="宋体" w:eastAsia="宋体" w:cs="宋体"/>
          <w:color w:val="auto"/>
          <w:sz w:val="21"/>
          <w:szCs w:val="21"/>
          <w:highlight w:val="none"/>
        </w:rPr>
        <w:t>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Cs w:val="21"/>
          <w:highlight w:val="none"/>
        </w:rPr>
        <w:t>）。</w:t>
      </w:r>
    </w:p>
    <w:p>
      <w:pPr>
        <w:tabs>
          <w:tab w:val="left" w:pos="700"/>
        </w:tabs>
        <w:topLinePunct/>
        <w:autoSpaceDE w:val="0"/>
        <w:autoSpaceDN w:val="0"/>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
        </w:rPr>
        <w:t>4.</w:t>
      </w:r>
      <w:r>
        <w:rPr>
          <w:rFonts w:hint="eastAsia" w:ascii="宋体" w:hAnsi="宋体" w:eastAsia="宋体" w:cs="宋体"/>
          <w:b/>
          <w:color w:val="auto"/>
          <w:szCs w:val="21"/>
          <w:highlight w:val="none"/>
        </w:rPr>
        <w:t>付款条件</w:t>
      </w:r>
    </w:p>
    <w:p>
      <w:pPr>
        <w:tabs>
          <w:tab w:val="left" w:pos="700"/>
        </w:tabs>
        <w:topLinePunct/>
        <w:autoSpaceDE w:val="0"/>
        <w:autoSpaceDN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甲方按照采购文件和合同约定对乙方提供的服务进行考核或验收后支付相应款项。</w:t>
      </w:r>
    </w:p>
    <w:p>
      <w:pPr>
        <w:tabs>
          <w:tab w:val="left" w:pos="700"/>
        </w:tabs>
        <w:topLinePunct/>
        <w:autoSpaceDE w:val="0"/>
        <w:autoSpaceDN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合同以人民币结算，付款方式：</w:t>
      </w:r>
    </w:p>
    <w:p>
      <w:pPr>
        <w:tabs>
          <w:tab w:val="left" w:pos="700"/>
        </w:tabs>
        <w:topLinePunct/>
        <w:autoSpaceDE w:val="0"/>
        <w:autoSpaceDN w:val="0"/>
        <w:snapToGrid w:val="0"/>
        <w:spacing w:line="360" w:lineRule="auto"/>
        <w:ind w:firstLine="420" w:firstLineChars="200"/>
        <w:jc w:val="left"/>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签订合同后15日内支付合同款项的20%</w:t>
      </w:r>
      <w:r>
        <w:rPr>
          <w:rFonts w:hint="eastAsia" w:ascii="宋体" w:hAnsi="宋体" w:cs="宋体"/>
          <w:color w:val="auto"/>
          <w:szCs w:val="21"/>
          <w:highlight w:val="none"/>
          <w:lang w:val="zh-CN" w:eastAsia="zh-CN"/>
        </w:rPr>
        <w:t>；</w:t>
      </w:r>
      <w:r>
        <w:rPr>
          <w:rFonts w:hint="eastAsia" w:ascii="宋体" w:hAnsi="宋体" w:eastAsia="宋体" w:cs="宋体"/>
          <w:color w:val="auto"/>
          <w:szCs w:val="21"/>
          <w:highlight w:val="none"/>
          <w:lang w:val="zh-CN" w:eastAsia="zh-CN"/>
        </w:rPr>
        <w:t>签订合同后第</w:t>
      </w:r>
      <w:r>
        <w:rPr>
          <w:rFonts w:hint="eastAsia" w:ascii="宋体" w:hAnsi="宋体" w:eastAsia="宋体" w:cs="宋体"/>
          <w:color w:val="auto"/>
          <w:szCs w:val="21"/>
          <w:highlight w:val="none"/>
          <w:lang w:val="en-US" w:eastAsia="zh-CN"/>
        </w:rPr>
        <w:t>6月</w:t>
      </w:r>
      <w:r>
        <w:rPr>
          <w:rFonts w:hint="eastAsia" w:ascii="宋体" w:hAnsi="宋体" w:eastAsia="宋体" w:cs="宋体"/>
          <w:color w:val="auto"/>
          <w:szCs w:val="21"/>
          <w:highlight w:val="none"/>
          <w:lang w:val="zh-CN" w:eastAsia="zh-CN"/>
        </w:rPr>
        <w:t>内支付合同款项的30%；签订合同后第9个月内支付合同款项的20%；项目验收合格后支付剩余合同款。</w:t>
      </w:r>
    </w:p>
    <w:p>
      <w:pPr>
        <w:tabs>
          <w:tab w:val="left" w:pos="700"/>
        </w:tabs>
        <w:topLinePunct/>
        <w:autoSpaceDE w:val="0"/>
        <w:autoSpaceDN w:val="0"/>
        <w:snapToGri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付款前，</w:t>
      </w:r>
      <w:r>
        <w:rPr>
          <w:rFonts w:hint="eastAsia" w:ascii="宋体" w:hAnsi="宋体" w:cs="宋体"/>
          <w:color w:val="auto"/>
          <w:szCs w:val="21"/>
          <w:highlight w:val="none"/>
          <w:lang w:val="zh-CN"/>
        </w:rPr>
        <w:t>供应商</w:t>
      </w:r>
      <w:r>
        <w:rPr>
          <w:rFonts w:hint="eastAsia" w:ascii="宋体" w:hAnsi="宋体" w:eastAsia="宋体" w:cs="宋体"/>
          <w:color w:val="auto"/>
          <w:szCs w:val="21"/>
          <w:highlight w:val="none"/>
          <w:lang w:val="zh-CN"/>
        </w:rPr>
        <w:t>应向采购人开具等额有效的增值税发票，采购人未收到发票的，有权不予支付相应款项直至</w:t>
      </w:r>
      <w:r>
        <w:rPr>
          <w:rFonts w:hint="eastAsia" w:ascii="宋体" w:hAnsi="宋体" w:cs="宋体"/>
          <w:color w:val="auto"/>
          <w:szCs w:val="21"/>
          <w:highlight w:val="none"/>
          <w:lang w:val="zh-CN"/>
        </w:rPr>
        <w:t>供应商</w:t>
      </w:r>
      <w:r>
        <w:rPr>
          <w:rFonts w:hint="eastAsia" w:ascii="宋体" w:hAnsi="宋体" w:eastAsia="宋体" w:cs="宋体"/>
          <w:color w:val="auto"/>
          <w:szCs w:val="21"/>
          <w:highlight w:val="none"/>
          <w:lang w:val="zh-CN"/>
        </w:rPr>
        <w:t>提供合格发票，并不承担延迟付款责任</w:t>
      </w:r>
    </w:p>
    <w:p>
      <w:pPr>
        <w:topLinePunct/>
        <w:autoSpaceDE w:val="0"/>
        <w:autoSpaceDN w:val="0"/>
        <w:snapToGrid w:val="0"/>
        <w:spacing w:line="360" w:lineRule="auto"/>
        <w:ind w:left="48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 合同签订及生效</w:t>
      </w:r>
    </w:p>
    <w:p>
      <w:pPr>
        <w:pStyle w:val="24"/>
        <w:tabs>
          <w:tab w:val="left" w:pos="840"/>
        </w:tabs>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本合同一式七份，由甲乙双方法定代表人或被授权人签字并盖章后生效。</w:t>
      </w:r>
    </w:p>
    <w:p>
      <w:pPr>
        <w:pStyle w:val="24"/>
        <w:tabs>
          <w:tab w:val="left" w:pos="840"/>
        </w:tabs>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乙方由法定代表人签订合同的，应提供法定代表人身份证复印件；乙方由被授权人签订合同的，应提供授权委托书和法定代表人及被授权人身份证复印件。</w:t>
      </w:r>
    </w:p>
    <w:p>
      <w:pPr>
        <w:keepNext w:val="0"/>
        <w:keepLines w:val="0"/>
        <w:pageBreakBefore w:val="0"/>
        <w:widowControl w:val="0"/>
        <w:kinsoku/>
        <w:wordWrap/>
        <w:overflowPunct/>
        <w:bidi w:val="0"/>
        <w:adjustRightInd/>
        <w:snapToGrid/>
        <w:spacing w:line="5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甲方：国家税务总局南宁市税务局</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乙方：</w:t>
      </w:r>
    </w:p>
    <w:p>
      <w:pPr>
        <w:tabs>
          <w:tab w:val="left" w:pos="700"/>
        </w:tabs>
        <w:topLinePunct/>
        <w:autoSpaceDE w:val="0"/>
        <w:autoSpaceDN w:val="0"/>
        <w:spacing w:line="360" w:lineRule="auto"/>
        <w:ind w:left="36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Cs w:val="21"/>
          <w:highlight w:val="none"/>
        </w:rPr>
        <w:t>签字：</w:t>
      </w:r>
    </w:p>
    <w:p>
      <w:pPr>
        <w:tabs>
          <w:tab w:val="left" w:pos="700"/>
        </w:tabs>
        <w:topLinePunct/>
        <w:autoSpaceDE w:val="0"/>
        <w:autoSpaceDN w:val="0"/>
        <w:spacing w:line="360" w:lineRule="auto"/>
        <w:ind w:left="36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盖章</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Cs w:val="21"/>
          <w:highlight w:val="none"/>
        </w:rPr>
        <w:t>盖章</w:t>
      </w:r>
      <w:r>
        <w:rPr>
          <w:rFonts w:hint="eastAsia" w:ascii="宋体" w:hAnsi="宋体" w:eastAsia="宋体" w:cs="宋体"/>
          <w:color w:val="auto"/>
          <w:sz w:val="21"/>
          <w:szCs w:val="21"/>
          <w:highlight w:val="none"/>
        </w:rPr>
        <w:t xml:space="preserve">： </w:t>
      </w:r>
    </w:p>
    <w:p>
      <w:pPr>
        <w:tabs>
          <w:tab w:val="left" w:pos="700"/>
        </w:tabs>
        <w:topLinePunct/>
        <w:autoSpaceDE w:val="0"/>
        <w:autoSpaceDN w:val="0"/>
        <w:spacing w:line="360" w:lineRule="auto"/>
        <w:ind w:left="36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Cs w:val="21"/>
          <w:highlight w:val="none"/>
        </w:rPr>
        <w:t>年    月    日               日期</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Cs w:val="21"/>
          <w:highlight w:val="none"/>
        </w:rPr>
        <w:t>年   月   日</w:t>
      </w:r>
    </w:p>
    <w:p>
      <w:pPr>
        <w:topLinePunct/>
        <w:autoSpaceDE w:val="0"/>
        <w:autoSpaceDN w:val="0"/>
        <w:spacing w:line="360" w:lineRule="auto"/>
        <w:jc w:val="center"/>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bookmarkStart w:id="43" w:name="_Toc25848"/>
      <w:r>
        <w:rPr>
          <w:rFonts w:hint="eastAsia" w:ascii="宋体" w:hAnsi="宋体" w:eastAsia="宋体" w:cs="宋体"/>
          <w:b/>
          <w:color w:val="auto"/>
          <w:sz w:val="24"/>
          <w:highlight w:val="none"/>
        </w:rPr>
        <w:t>二   合 同 通 用 条 款</w:t>
      </w:r>
      <w:bookmarkEnd w:id="43"/>
    </w:p>
    <w:p>
      <w:pPr>
        <w:topLinePunct/>
        <w:autoSpaceDE w:val="0"/>
        <w:autoSpaceDN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 定义</w:t>
      </w:r>
    </w:p>
    <w:p>
      <w:pPr>
        <w:topLinePunct/>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本合同下列术语应解释为：</w:t>
      </w:r>
    </w:p>
    <w:p>
      <w:pPr>
        <w:tabs>
          <w:tab w:val="left" w:pos="70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1.1“甲方”是指国家税务总局南宁市税务局。</w:t>
      </w:r>
    </w:p>
    <w:p>
      <w:pPr>
        <w:tabs>
          <w:tab w:val="left" w:pos="70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1.1.1“甲方采购部门”见“合同条款前附表”第5项“甲方采购部门”。</w:t>
      </w:r>
    </w:p>
    <w:p>
      <w:pPr>
        <w:tabs>
          <w:tab w:val="left" w:pos="70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1.1.2“甲方需求部门”见“合同条款前附表”第5项“甲方需求部门”。</w:t>
      </w:r>
    </w:p>
    <w:p>
      <w:pPr>
        <w:tabs>
          <w:tab w:val="left" w:pos="70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1.2“乙方”见“合同条款前附表”第6项“乙方名称”。</w:t>
      </w:r>
    </w:p>
    <w:p>
      <w:pPr>
        <w:tabs>
          <w:tab w:val="left" w:pos="70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 “合同”系指甲乙双方签订的、合同格式中载明的甲乙双方所达成的协议，包括所有的附件、附录和上述文件所提到的构成合同的所有文件。</w:t>
      </w:r>
    </w:p>
    <w:p>
      <w:pPr>
        <w:topLinePunct/>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 “天”除非特别指出，“天”均为自然天。</w:t>
      </w:r>
    </w:p>
    <w:p>
      <w:pPr>
        <w:topLinePunct/>
        <w:autoSpaceDE w:val="0"/>
        <w:autoSpaceDN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 标准</w:t>
      </w:r>
    </w:p>
    <w:p>
      <w:pPr>
        <w:topLinePunct/>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 乙方为甲方交付或提供的服务应符合招标（采购）文件所述的标准，如果没有提及适用标准，则应符合相应的国家标准。这些标准必须是有关机构发布的最新版本的标准。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 除非技术要求中另有规定，计量单位均采用中华人民共和国法定计量单位。</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 服务</w:t>
      </w:r>
    </w:p>
    <w:p>
      <w:pPr>
        <w:tabs>
          <w:tab w:val="left" w:pos="700"/>
        </w:tabs>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3.1 本项目的“服务”见“合同条款前附表”第8项“服务内容”。</w:t>
      </w:r>
    </w:p>
    <w:p>
      <w:pPr>
        <w:topLinePunct/>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 乙方应保证所提供的服务符合合同规定的要求。如不符时，乙方应负全责并尽快处理解决，由此造成的损失和相关费用由乙方负责，甲方保留终止合同及索赔的权利。</w:t>
      </w:r>
    </w:p>
    <w:p>
      <w:pPr>
        <w:topLinePunct/>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 乙方应保证通过执行合同中全部方案后，可以取得本合同约定的结果，达到本合同约定的预期目标。对任何情况下出现的问题，应尽快提出解决方案。</w:t>
      </w:r>
    </w:p>
    <w:p>
      <w:pPr>
        <w:tabs>
          <w:tab w:val="left" w:pos="0"/>
          <w:tab w:val="left" w:pos="54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 如果乙方提供的服务和解决方案不符合甲方要求，或在规定的时间内没有弥补缺陷，甲方有权采取一切必要的补救措施，由此产生的费用全部由乙方负责。</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 除合同条款另行规定外，伴随服务的费用应含在合同价中，不单独进行支付。</w:t>
      </w:r>
    </w:p>
    <w:p>
      <w:pPr>
        <w:tabs>
          <w:tab w:val="left" w:pos="0"/>
          <w:tab w:val="left" w:pos="540"/>
        </w:tabs>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 知识产权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 乙方应保证所提供的服务免受第三方提出侵犯其知识产权（专利权、商标权、软件著作权、版权等）的起诉。</w:t>
      </w:r>
    </w:p>
    <w:p>
      <w:pPr>
        <w:tabs>
          <w:tab w:val="left" w:pos="0"/>
          <w:tab w:val="left" w:pos="540"/>
        </w:tabs>
        <w:topLinePunct/>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 甲方对项目实施过程中所产生的所有成果（包括但不限于发明、发现、可运行系统、源代码及相关技术资料、文档等）享有永久使用权、复制权和修改权，其专利申请权、专利权、软件著作权、技术秘密的所有权、使用权、转让权等知识产权归甲方所有。</w:t>
      </w:r>
    </w:p>
    <w:p>
      <w:pPr>
        <w:tabs>
          <w:tab w:val="left" w:pos="0"/>
          <w:tab w:val="left" w:pos="540"/>
        </w:tabs>
        <w:topLinePunct/>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 乙方不得利用本项目实施过程中所产生的成果（包括但不限于发明、发现、可运行系统、源代码及相关技术资料、文档等），另行自行开发本合同业务范围内供纳税人缴费人使用的软件或产品，不得利用开发便利变相收费或搭车收费。</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 保密条款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 甲乙双方应对在本合同签订或履行过程中所接触的对方信息，包括但不限于知识产权、技术资料、技术诀窍、内部管理及其他相关信息，负有保密义务。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Cs w:val="21"/>
          <w:highlight w:val="none"/>
        </w:rPr>
        <w:t>应以审慎态度避免泄漏、公开或传播甲方的信息；</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Cs w:val="21"/>
          <w:highlight w:val="none"/>
        </w:rPr>
        <w:t>在开发过程中对数据的处理方式应事先得到甲方的许可；</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Cs w:val="21"/>
          <w:highlight w:val="none"/>
        </w:rPr>
        <w:t>未经甲方书面许可，不得对有关信息进行修改、补充、复制；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Cs w:val="21"/>
          <w:highlight w:val="none"/>
        </w:rPr>
        <w:t>未经甲方书面许可，不得将信息以任何方式（如E-mail）携带出甲方场所；</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Cs w:val="21"/>
          <w:highlight w:val="none"/>
        </w:rPr>
        <w:t>未经甲方书面许可，不得将信息透露给任何其他人</w:t>
      </w:r>
      <w:r>
        <w:rPr>
          <w:rFonts w:hint="eastAsia" w:ascii="宋体" w:hAnsi="宋体" w:eastAsia="宋体" w:cs="宋体"/>
          <w:color w:val="auto"/>
          <w:sz w:val="21"/>
          <w:szCs w:val="21"/>
          <w:highlight w:val="non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Cs w:val="21"/>
          <w:highlight w:val="none"/>
        </w:rPr>
        <w:t>严禁在提交的软件产品中设置远程维护接口和后门程序；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Cs w:val="21"/>
          <w:highlight w:val="none"/>
        </w:rPr>
        <w:t>不得进行系统软硬件设备的远程维护；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Cs w:val="21"/>
          <w:highlight w:val="none"/>
        </w:rPr>
        <w:t>甲方以书面形式提出的其他保密措施。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保密期限不受合同有效期的限制，在合同有效期结束后，信息接受方仍应承担保密义务，直至该等信息成为公开信息。</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 甲乙双方如出现泄密行为，泄密方应承担相关的法律责任，包括但是不限于对由此给对方造成的经济损失进行赔偿。</w:t>
      </w:r>
    </w:p>
    <w:p>
      <w:pPr>
        <w:topLinePunct/>
        <w:autoSpaceDE w:val="0"/>
        <w:autoSpaceDN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 履约验收要求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 甲方需求部门严格按照采购合同开展履约验收。验收时,应当按照本合同约定的技术、服务和安全标准，对供应商各项义务履行情况进行验收确认。未约定相关标准的，应当按照国家强制性规定、政策要求、安全标准和行业有关标准进行验收确认。验收结束后，应当出具验收意见，列明合同事项、验收标准及验收情况，由全体验收人员签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6.2具体履约验收要求详见招标（采购）文件。</w:t>
      </w:r>
    </w:p>
    <w:p>
      <w:pPr>
        <w:tabs>
          <w:tab w:val="left" w:pos="0"/>
          <w:tab w:val="left" w:pos="540"/>
        </w:tabs>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 履约保证金</w:t>
      </w:r>
    </w:p>
    <w:p>
      <w:pPr>
        <w:tabs>
          <w:tab w:val="left" w:pos="70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 需提交履约保证金的项目，乙方应按照“合同条款前附表”第 10 项“履约保证金及返还”提交履约保证金。</w:t>
      </w:r>
    </w:p>
    <w:p>
      <w:pPr>
        <w:tabs>
          <w:tab w:val="left" w:pos="70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 履约保证金的金额可用于补偿甲方因乙方不能完成其合同义务而蒙受的损失。</w:t>
      </w:r>
    </w:p>
    <w:p>
      <w:pPr>
        <w:tabs>
          <w:tab w:val="left" w:pos="70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7.3如乙方未能按时支付合同约定的违约金、赔偿金、其他应付款项等的，甲方有权按照本合同的约定从履约保证金中扣除上述款项。乙方应在甲方扣除履约保证金后 15 天内，及时补充扣除部分金额。若逾期补充的，每日应按应补充金额的万分之五（0.05%）支付甲方违约金。</w:t>
      </w:r>
    </w:p>
    <w:p>
      <w:pPr>
        <w:tabs>
          <w:tab w:val="left" w:pos="70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 乙方不履行合同、或者履行合同义务不符合约定使得合同目的不能实现，履约保证金不予退还，并应按合同约定支付违约金、赔偿金等。</w:t>
      </w:r>
    </w:p>
    <w:p>
      <w:pPr>
        <w:tabs>
          <w:tab w:val="left" w:pos="70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 履约保证金在合同履行期满后，扣除相应款项（如有）且双方无争议后，凭返还申请等资料一次性无息返还，详见“合同条款前附表”第10项“履约保证金及返还”。</w:t>
      </w:r>
    </w:p>
    <w:p>
      <w:pPr>
        <w:tabs>
          <w:tab w:val="left" w:pos="0"/>
          <w:tab w:val="left" w:pos="540"/>
        </w:tabs>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8．履约延误</w:t>
      </w:r>
    </w:p>
    <w:p>
      <w:pPr>
        <w:topLinePunct/>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8.1 乙方应按照本合同的规定提供服务。</w:t>
      </w:r>
    </w:p>
    <w:p>
      <w:pPr>
        <w:topLinePunct/>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8.2 如乙方迟延履行合同义务，甲方将从应付合同金额中扣除误期违约金，每延误一天误期违约金按合同总金额的万分之三（0.03%）计收。乙方支付的误期违约金不足以弥补甲方损失的，应继续承担赔偿责任。本合同约定的损失，包括但不限于：直接损失、调查取证费、诉讼费、律师费等。</w:t>
      </w:r>
    </w:p>
    <w:p>
      <w:pPr>
        <w:topLinePunct/>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8.3 在履行合同过程中，如果乙方可能遇到妨碍按时提供服务的情况时，应及时以书面形式将拖延的事实，可能拖延的期限和理由通知甲方。甲方在收到乙方通知后，应尽快对情况进行评估，并确定是否酌情延长工期以及是否收取误期违约金。</w:t>
      </w:r>
    </w:p>
    <w:p>
      <w:pPr>
        <w:topLinePunct/>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8.4 除不可抗力和根据合同规定延期取得甲方同意而不收取误期违约金之外，乙方延误工期，将按合同规定被收取误期违约金。</w:t>
      </w:r>
    </w:p>
    <w:p>
      <w:pPr>
        <w:topLinePunct/>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8.5 逾期退还履约保证金的违约责任。满足履约保证金返还条件的，甲方在收到返还相关信息等合同约定资料后，进行核实。对核实结果无异议的，应当自完成核实之日起30日内返还履约保证金。无特殊原因逾期退还履约保证金的，乙方可要求甲方按银行同期活期存款利率支付逾期利息。特殊原因逾期返还的，双方协商解决。</w:t>
      </w:r>
    </w:p>
    <w:p>
      <w:pPr>
        <w:topLinePunct/>
        <w:autoSpaceDE w:val="0"/>
        <w:autoSpaceDN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 违约责任</w:t>
      </w:r>
    </w:p>
    <w:p>
      <w:pPr>
        <w:topLinePunct/>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9.1 除本合同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pPr>
        <w:topLinePunct/>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9.2 乙方没有按照时限要求提供服务，且在甲方指定的延长期限内没有采取补救措施，甲方有权自行采取其他方式进行补救，乙方除按合同第8条约定向甲方支付误期违约金外，另外甲方所发生的一切费用和甲方损失，甲方有权从应付的乙方的合同款项中扣除，不足扣除的乙方应另行支付。</w:t>
      </w:r>
    </w:p>
    <w:p>
      <w:pPr>
        <w:topLinePunct/>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9.3 除应支付甲方违约金等外，甲方有权根据合同或有关部门出具的检验证书向乙方提出索赔。</w:t>
      </w:r>
    </w:p>
    <w:p>
      <w:pPr>
        <w:topLinePunct/>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9.4 如果乙方对差异负有责任而甲方提出索赔，乙方同意按照下列方式解决索赔事宜：</w:t>
      </w:r>
    </w:p>
    <w:p>
      <w:pPr>
        <w:topLinePunct/>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果在甲方发出索赔通知后5个工作日内，乙方未作书面答复，上述索赔应视为已被乙方接受。如乙方未能在甲方发出索赔通知后5个工作日内或甲方同意的延长期限内着手解决索赔事宜，甲方有权从应付乙方的合同款项中扣除索赔金额。</w:t>
      </w:r>
    </w:p>
    <w:p>
      <w:pPr>
        <w:topLinePunct/>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9.5 对于本协议未约定的、招标（采购）文件（技术部分）中约定的违约处理条款，按招标（采购）文件（技术部分）相关约定执行；对本协议与招标（采购）文件（技术部分）约定不同的违约处理条款，以本协议约定为准。</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 不可抗力</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 本条所述的“不可抗力”系指双方不可预见、不可避免、不可克服的客观情况，但不包括双方的违约或疏忽。这些事件包括但不限于：战争、严重火灾、洪水、台风、地震等。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 如果乙方因不可抗力而导致合同实施延误或不能履行合同义务，不应承担误期赔偿或终止合同的责任。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 争端的解决</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 甲乙双方应首先通过友好协商解决在执行本合同中所发生的或与本合同有关的一切争端。如从协商开始</w:t>
      </w:r>
      <w:r>
        <w:rPr>
          <w:rFonts w:hint="eastAsia" w:ascii="宋体" w:hAnsi="宋体" w:eastAsia="宋体" w:cs="宋体"/>
          <w:color w:val="auto"/>
          <w:sz w:val="21"/>
          <w:szCs w:val="21"/>
          <w:highlight w:val="none"/>
          <w:u w:val="single"/>
          <w:lang w:val="en-US" w:eastAsia="zh-CN"/>
        </w:rPr>
        <w:t xml:space="preserve">  60  </w:t>
      </w:r>
      <w:r>
        <w:rPr>
          <w:rFonts w:hint="eastAsia" w:ascii="宋体" w:hAnsi="宋体" w:eastAsia="宋体" w:cs="宋体"/>
          <w:color w:val="auto"/>
          <w:szCs w:val="21"/>
          <w:highlight w:val="none"/>
        </w:rPr>
        <w:t>天内仍不能解决，可以按合同约定的方式提起仲裁或诉讼。</w:t>
      </w:r>
    </w:p>
    <w:p>
      <w:pPr>
        <w:spacing w:line="360" w:lineRule="auto"/>
        <w:ind w:left="239" w:leftChars="114"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11.2.1仲裁应向甲方所在地或</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Cs w:val="21"/>
          <w:highlight w:val="none"/>
        </w:rPr>
        <w:t>仲裁委员会申请仲裁。</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11.2.2 仲裁裁决应为最终裁决，对双方均具有约束力。</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11.2.3 仲裁费除仲裁机关另有裁决外应由败诉方负担。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11.2.4在仲裁期间，除正在进行仲裁部分外，本合同的其它部分应继续执行。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11.3.1诉讼应向甲方所在地或</w:t>
      </w:r>
      <w:r>
        <w:rPr>
          <w:rFonts w:hint="eastAsia" w:ascii="宋体" w:hAnsi="宋体" w:eastAsia="宋体" w:cs="宋体"/>
          <w:color w:val="auto"/>
          <w:szCs w:val="21"/>
          <w:highlight w:val="none"/>
          <w:u w:val="single"/>
        </w:rPr>
        <w:t xml:space="preserve"> 项目所在地有管辖权的</w:t>
      </w:r>
      <w:r>
        <w:rPr>
          <w:rFonts w:hint="eastAsia" w:ascii="宋体" w:hAnsi="宋体" w:eastAsia="宋体" w:cs="宋体"/>
          <w:color w:val="auto"/>
          <w:szCs w:val="21"/>
          <w:highlight w:val="none"/>
        </w:rPr>
        <w:t>人民法院提起诉讼。</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11.3.2诉讼费除人民法院另有判决外，应由败诉方负担。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11.3.3在诉讼期间，除正在进行诉讼部分外，本合同的其它部分应继续执行。</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12. 违约终止合同</w:t>
      </w:r>
    </w:p>
    <w:p>
      <w:pPr>
        <w:topLinePunct/>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 若出现如下情况，在甲方对乙方违约行为而采取的任何补救措施不受影响的情况下，</w:t>
      </w:r>
      <w:r>
        <w:rPr>
          <w:rFonts w:hint="eastAsia" w:ascii="宋体" w:hAnsi="宋体" w:eastAsia="宋体" w:cs="宋体"/>
          <w:color w:val="auto"/>
          <w:szCs w:val="21"/>
          <w:highlight w:val="none"/>
          <w:shd w:val="clear" w:color="auto" w:fill="FFFFFF"/>
          <w:lang w:val="en-US" w:eastAsia="zh-CN"/>
        </w:rPr>
        <w:t>甲方可向乙方发出书面通知书解除本合同</w:t>
      </w:r>
      <w:r>
        <w:rPr>
          <w:rFonts w:hint="eastAsia" w:ascii="宋体" w:hAnsi="宋体" w:eastAsia="宋体" w:cs="宋体"/>
          <w:color w:val="auto"/>
          <w:szCs w:val="21"/>
          <w:highlight w:val="none"/>
        </w:rPr>
        <w:t>。自甲方发出书面通知书之日起30日内，乙方应支付甲方合同总金额20%的违约金，并根据合同执行情况返还部分或全部已收取款项。乙方支付的违约金不足以弥补甲方损失的，应继续承担赔偿责任。本合同约定的损失，包括但不限于：直接损失、调查取证费、诉讼费、律师费等。</w:t>
      </w:r>
    </w:p>
    <w:p>
      <w:pPr>
        <w:topLinePunct/>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 乙方不履行合同义务或者履行合同义务不符合合同约定累计达</w:t>
      </w: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次的；</w:t>
      </w:r>
    </w:p>
    <w:p>
      <w:pPr>
        <w:topLinePunct/>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 如果乙方未能在合同规定的期限或甲方同意延长的期限内提供服务，迟延累计达20日的；</w:t>
      </w:r>
    </w:p>
    <w:p>
      <w:pPr>
        <w:topLinePunct/>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 因乙方人员自身技术能力、经验不足等问题造成甲方发生重大紧急故障，带来重大影响和损失的；</w:t>
      </w:r>
    </w:p>
    <w:p>
      <w:pPr>
        <w:topLinePunct/>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12.1.4 乙方对重大紧急故障没有及时响应，或不能在规定时间内解决处理故障、恢复正常运行的；</w:t>
      </w:r>
    </w:p>
    <w:p>
      <w:pPr>
        <w:topLinePunct/>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Cs w:val="21"/>
          <w:highlight w:val="none"/>
        </w:rPr>
        <w:t>乙方不能满足本项目技术需求的管理要求和规范，且经两次整改无明显改进的；</w:t>
      </w:r>
    </w:p>
    <w:p>
      <w:pPr>
        <w:topLinePunct/>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12.1.6 乙方利用本项目实施过程中所产生的成果（包括但不限于发明、发现、可运行系统、源代码及相关技术资料、文档等），另行自行开发本合同业务范围内供纳税人缴费人使用的软件或产品的，或利用为税务机关提供信息化服务的便利，向纳税人缴费人搭车收费或变相收费的，或有其他失信行为的；</w:t>
      </w:r>
    </w:p>
    <w:p>
      <w:pPr>
        <w:topLinePunct/>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12.1.7 乙方在本项目实施过程中发生违反网络安全规定行为造成不良后果的。</w:t>
      </w:r>
    </w:p>
    <w:p>
      <w:pPr>
        <w:topLinePunct/>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12.1.8 乙方提供的服务侵犯甲方、第三方知识产权等合法权益的；</w:t>
      </w:r>
    </w:p>
    <w:p>
      <w:pPr>
        <w:topLinePunct/>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12.1.9 乙方或乙方人员造成甲方或第三方经济损失而拒不赔偿的；</w:t>
      </w:r>
    </w:p>
    <w:p>
      <w:pPr>
        <w:topLinePunct/>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12.1.10 乙方转让其应履行的合同义务，或未经甲方同意采取分包方式履行合同</w:t>
      </w:r>
    </w:p>
    <w:p>
      <w:pPr>
        <w:topLinePunct/>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的；</w:t>
      </w:r>
    </w:p>
    <w:p>
      <w:pPr>
        <w:topLinePunct/>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12.1.11 乙方有其他严重违约行为的。</w:t>
      </w:r>
    </w:p>
    <w:p>
      <w:pPr>
        <w:topLinePunct/>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 如果甲方根据上述第12.1条的规定解除合同，甲方可以适当的条件和方法购买乙方未能提供的服务，乙方应对甲方购买类似服务所超出的费用负责。同时，乙方应继续执行合同中未解除的部分。</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13. 破产终止合同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 如果乙方破产或无清偿能力，甲方可在任何时候以书面形式通知乙方终止合同而不给乙方补偿。</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13.2该终止合同将不损害或影响甲方已经采取或将要采取的任何行动或补救措施的权利。</w:t>
      </w:r>
    </w:p>
    <w:p>
      <w:pPr>
        <w:topLinePunct/>
        <w:autoSpaceDE w:val="0"/>
        <w:autoSpaceDN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14. 其他情况的终止合同</w:t>
      </w:r>
    </w:p>
    <w:p>
      <w:pPr>
        <w:topLinePunct/>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 乙方在执行合同的过程中发生重大事故或变故，对履行合同有直接影响的，甲方可以提出终止合同而不给予乙方任何补偿。</w:t>
      </w:r>
    </w:p>
    <w:p>
      <w:pPr>
        <w:topLinePunct/>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 在服务期内，由于甲方工作计划调整，推广使用新应用系统导致本项目相关服务停止的，甲方可以提出终止合同而不给予乙方任何补偿。</w:t>
      </w:r>
    </w:p>
    <w:p>
      <w:pPr>
        <w:tabs>
          <w:tab w:val="left" w:pos="700"/>
        </w:tabs>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15. 合同修改或变更</w:t>
      </w:r>
    </w:p>
    <w:p>
      <w:pPr>
        <w:spacing w:line="360" w:lineRule="auto"/>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 合同如有未尽事宜，须经甲乙双方共同协商，做出补充约定，并签订书面补充合同或变更协议。补充合同或变更协议作为本合同的一部分，与本合同具有同等效力。</w:t>
      </w:r>
    </w:p>
    <w:p>
      <w:pPr>
        <w:topLinePunct/>
        <w:autoSpaceDE w:val="0"/>
        <w:autoSpaceDN w:val="0"/>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15.2 除了双方签署书面修改或变更协议，并成为本合同不可分割的一部分的情况之外，本合同的条款不得有任何变化或修改。</w:t>
      </w:r>
    </w:p>
    <w:p>
      <w:pPr>
        <w:topLinePunct/>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 由于采购人项目统一规划等原因导致本项目停止部分服务的，甲方将与乙方协商处理。</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16. 转让和分包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 除甲方事先书面同意外，乙方不得部分转让或全部转让其应履行的合同义务。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未经甲方同意，乙方不得采取分包方式履行合同。经甲方同意分包履行合同的，乙方就采购项目及分包项目向甲方负责，分包供应商就分包项目承担责任。</w:t>
      </w:r>
    </w:p>
    <w:p>
      <w:pPr>
        <w:topLinePunct/>
        <w:autoSpaceDE w:val="0"/>
        <w:autoSpaceDN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17. 合同语言</w:t>
      </w:r>
    </w:p>
    <w:p>
      <w:pPr>
        <w:topLinePunct/>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 本合同语言为中文。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 双方交换的与合同有关的信件和其他文件应用合同语言书写。</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18. 适用法律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 本合同按照中华人民共和国现行法律进行解释。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 本合同的履行、违约责任和解决争议的方法等适用《中华人民共和国民法典（合同编）》。</w:t>
      </w:r>
    </w:p>
    <w:p>
      <w:pPr>
        <w:topLinePunct/>
        <w:autoSpaceDE w:val="0"/>
        <w:autoSpaceDN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 税费</w:t>
      </w:r>
    </w:p>
    <w:p>
      <w:pPr>
        <w:topLinePunct/>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 乙方应依法缴纳的合同服务相关税费，均已包含于合同总金额中，甲方不再另行支付。</w:t>
      </w:r>
    </w:p>
    <w:p>
      <w:pPr>
        <w:tabs>
          <w:tab w:val="left" w:pos="700"/>
        </w:tabs>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20. 合同生效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 本合同一式</w:t>
      </w:r>
      <w:r>
        <w:rPr>
          <w:rFonts w:hint="eastAsia" w:ascii="宋体" w:hAnsi="宋体" w:eastAsia="宋体" w:cs="宋体"/>
          <w:color w:val="auto"/>
          <w:szCs w:val="21"/>
          <w:highlight w:val="none"/>
          <w:u w:val="single"/>
        </w:rPr>
        <w:t>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rPr>
        <w:t>份，由甲乙双方法定代表人或被授权人签字并盖章后生效。</w:t>
      </w: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ind w:firstLine="480" w:firstLineChars="200"/>
        <w:rPr>
          <w:rFonts w:hint="eastAsia" w:ascii="宋体" w:hAnsi="宋体" w:eastAsia="宋体" w:cs="宋体"/>
          <w:color w:val="auto"/>
          <w:sz w:val="24"/>
          <w:highlight w:val="none"/>
        </w:rPr>
      </w:pPr>
    </w:p>
    <w:p>
      <w:pPr>
        <w:pStyle w:val="11"/>
        <w:spacing w:line="360" w:lineRule="auto"/>
        <w:ind w:firstLine="480"/>
        <w:jc w:val="center"/>
        <w:outlineLvl w:val="1"/>
        <w:rPr>
          <w:rFonts w:hint="eastAsia" w:ascii="宋体" w:hAnsi="宋体" w:eastAsia="宋体" w:cs="宋体"/>
          <w:b/>
          <w:color w:val="auto"/>
          <w:sz w:val="24"/>
          <w:highlight w:val="none"/>
        </w:rPr>
      </w:pPr>
      <w:bookmarkStart w:id="44" w:name="_Toc22014"/>
      <w:r>
        <w:rPr>
          <w:rFonts w:hint="eastAsia" w:ascii="宋体" w:hAnsi="宋体" w:eastAsia="宋体" w:cs="宋体"/>
          <w:b/>
          <w:color w:val="auto"/>
          <w:sz w:val="24"/>
          <w:highlight w:val="none"/>
        </w:rPr>
        <w:t>三   招标（采购）文件及投标（响应）文件（如需要，可另附）</w:t>
      </w:r>
      <w:bookmarkEnd w:id="44"/>
    </w:p>
    <w:p>
      <w:pPr>
        <w:pStyle w:val="11"/>
        <w:spacing w:line="360" w:lineRule="auto"/>
        <w:ind w:firstLine="480"/>
        <w:jc w:val="both"/>
        <w:outlineLvl w:val="9"/>
        <w:rPr>
          <w:rFonts w:hint="eastAsia" w:ascii="宋体" w:hAnsi="宋体" w:eastAsia="宋体" w:cs="宋体"/>
          <w:b/>
          <w:color w:val="auto"/>
          <w:sz w:val="24"/>
          <w:highlight w:val="none"/>
        </w:rPr>
      </w:pPr>
    </w:p>
    <w:p>
      <w:pPr>
        <w:pStyle w:val="11"/>
        <w:spacing w:line="360" w:lineRule="auto"/>
        <w:ind w:firstLine="1029" w:firstLineChars="427"/>
        <w:outlineLvl w:val="1"/>
        <w:rPr>
          <w:rFonts w:hint="eastAsia" w:ascii="宋体" w:hAnsi="宋体" w:eastAsia="宋体" w:cs="宋体"/>
          <w:b/>
          <w:color w:val="auto"/>
          <w:sz w:val="24"/>
          <w:highlight w:val="none"/>
        </w:rPr>
      </w:pPr>
      <w:bookmarkStart w:id="45" w:name="_Toc27758"/>
      <w:r>
        <w:rPr>
          <w:rFonts w:hint="eastAsia" w:ascii="宋体" w:hAnsi="宋体" w:eastAsia="宋体" w:cs="宋体"/>
          <w:b/>
          <w:color w:val="auto"/>
          <w:sz w:val="24"/>
          <w:highlight w:val="none"/>
        </w:rPr>
        <w:t>四</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报价表（总报价表和分项报价表，如有需要可另附）</w:t>
      </w:r>
      <w:bookmarkEnd w:id="45"/>
    </w:p>
    <w:p>
      <w:pPr>
        <w:rPr>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sectPr>
          <w:pgSz w:w="11906" w:h="16838"/>
          <w:pgMar w:top="1440" w:right="1752" w:bottom="1440" w:left="1752" w:header="851" w:footer="992" w:gutter="0"/>
          <w:pgNumType w:fmt="decimal"/>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color w:val="auto"/>
          <w:sz w:val="28"/>
          <w:szCs w:val="28"/>
          <w:highlight w:val="none"/>
        </w:rPr>
      </w:pPr>
      <w:bookmarkStart w:id="46" w:name="_Toc7236"/>
      <w:bookmarkStart w:id="47" w:name="_Toc132880668"/>
      <w:r>
        <w:rPr>
          <w:rFonts w:hint="eastAsia" w:ascii="宋体" w:hAnsi="宋体" w:eastAsia="宋体" w:cs="宋体"/>
          <w:b/>
          <w:bCs/>
          <w:color w:val="auto"/>
          <w:sz w:val="28"/>
          <w:szCs w:val="28"/>
          <w:highlight w:val="none"/>
        </w:rPr>
        <w:t>第五章　响应文件格式</w:t>
      </w:r>
      <w:bookmarkEnd w:id="46"/>
      <w:bookmarkEnd w:id="47"/>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供应商必须按下列文本格式，如实提供具有法律效力的资格证明文件和真实有效的其他文件资料，任何不按下列文本格式提供或有实质性变更将由供应商承担风险。</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1.供应商应严格按照本章规定填写和提交全部格式文件以及其他有关资料，混乱的编排导致响应文件被误读或查找不到，后果由供应商承担。</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2.所附表格中要求回答的全部问题和信息都必须正面回答。</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3.资格声明文件的签字人应保证全部声明和问题的回答是真实的和准确的。</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4.磋商小组将应用供应商提交的资料并根据自己的判断，决定供应商履行合同的合格性及能力。</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5.全部文件应按供应商须知中规定的语言提交。</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6.以下格式文件为要求填写内容的固定格式，供应商不得擅自修改格式，其他未提供格式的文件和资料由供应商自行设计编制格式填写。</w:t>
      </w:r>
    </w:p>
    <w:p>
      <w:pPr>
        <w:adjustRightInd w:val="0"/>
        <w:snapToGrid w:val="0"/>
        <w:spacing w:beforeLines="20" w:after="4" w:line="360" w:lineRule="auto"/>
        <w:ind w:firstLine="422" w:firstLineChars="200"/>
        <w:jc w:val="center"/>
        <w:rPr>
          <w:rFonts w:hint="eastAsia" w:ascii="宋体" w:hAnsi="宋体" w:eastAsia="宋体" w:cs="宋体"/>
          <w:b/>
          <w:bCs/>
          <w:color w:val="auto"/>
          <w:highlight w:val="none"/>
        </w:rPr>
      </w:pPr>
    </w:p>
    <w:p>
      <w:pPr>
        <w:ind w:firstLine="422" w:firstLineChars="200"/>
        <w:jc w:val="center"/>
        <w:rPr>
          <w:rFonts w:hint="eastAsia" w:ascii="宋体" w:hAnsi="宋体" w:eastAsia="宋体" w:cs="宋体"/>
          <w:b/>
          <w:bCs/>
          <w:color w:val="auto"/>
          <w:highlight w:val="none"/>
        </w:rPr>
      </w:pPr>
    </w:p>
    <w:p>
      <w:pPr>
        <w:rPr>
          <w:rFonts w:hint="eastAsia" w:ascii="宋体" w:hAnsi="宋体" w:eastAsia="宋体" w:cs="宋体"/>
          <w:color w:val="auto"/>
          <w:highlight w:val="none"/>
        </w:rPr>
      </w:pPr>
    </w:p>
    <w:p>
      <w:pPr>
        <w:rPr>
          <w:rFonts w:hint="eastAsia" w:ascii="宋体" w:hAnsi="宋体" w:eastAsia="宋体" w:cs="宋体"/>
          <w:b/>
          <w:bCs/>
          <w:color w:val="auto"/>
          <w:highlight w:val="none"/>
        </w:rPr>
      </w:pPr>
    </w:p>
    <w:p>
      <w:pPr>
        <w:adjustRightInd w:val="0"/>
        <w:snapToGrid w:val="0"/>
        <w:spacing w:after="0"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br w:type="page"/>
      </w:r>
    </w:p>
    <w:p>
      <w:pPr>
        <w:spacing w:line="600" w:lineRule="auto"/>
        <w:jc w:val="center"/>
        <w:rPr>
          <w:rFonts w:hint="eastAsia" w:ascii="宋体" w:hAnsi="宋体" w:eastAsia="宋体" w:cs="宋体"/>
          <w:b/>
          <w:color w:val="auto"/>
          <w:kern w:val="0"/>
          <w:sz w:val="44"/>
          <w:szCs w:val="44"/>
          <w:highlight w:val="none"/>
        </w:rPr>
      </w:pPr>
    </w:p>
    <w:p>
      <w:pPr>
        <w:pStyle w:val="10"/>
        <w:rPr>
          <w:rFonts w:hint="eastAsia" w:ascii="宋体" w:hAnsi="宋体" w:eastAsia="宋体" w:cs="宋体"/>
          <w:b/>
          <w:color w:val="auto"/>
          <w:kern w:val="0"/>
          <w:sz w:val="44"/>
          <w:szCs w:val="44"/>
          <w:highlight w:val="none"/>
        </w:rPr>
      </w:pPr>
    </w:p>
    <w:p>
      <w:pPr>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宋体" w:hAnsi="宋体" w:eastAsia="宋体" w:cs="宋体"/>
          <w:b w:val="0"/>
          <w:bCs/>
          <w:color w:val="auto"/>
          <w:kern w:val="0"/>
          <w:sz w:val="32"/>
          <w:szCs w:val="32"/>
          <w:highlight w:val="none"/>
        </w:rPr>
      </w:pPr>
      <w:r>
        <w:rPr>
          <w:rFonts w:hint="eastAsia" w:ascii="宋体" w:hAnsi="宋体" w:eastAsia="宋体" w:cs="宋体"/>
          <w:b w:val="0"/>
          <w:bCs/>
          <w:color w:val="auto"/>
          <w:kern w:val="0"/>
          <w:sz w:val="32"/>
          <w:szCs w:val="32"/>
          <w:highlight w:val="none"/>
        </w:rPr>
        <w:t>响  应  文  件</w:t>
      </w:r>
    </w:p>
    <w:p>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宋体" w:hAnsi="宋体" w:eastAsia="宋体" w:cs="宋体"/>
          <w:b w:val="0"/>
          <w:bCs/>
          <w:color w:val="auto"/>
          <w:kern w:val="0"/>
          <w:sz w:val="32"/>
          <w:szCs w:val="32"/>
          <w:highlight w:val="none"/>
        </w:rPr>
      </w:pPr>
      <w:r>
        <w:rPr>
          <w:rFonts w:hint="eastAsia" w:ascii="宋体" w:hAnsi="宋体" w:eastAsia="宋体" w:cs="宋体"/>
          <w:b w:val="0"/>
          <w:bCs/>
          <w:color w:val="auto"/>
          <w:kern w:val="0"/>
          <w:sz w:val="32"/>
          <w:szCs w:val="32"/>
          <w:highlight w:val="none"/>
        </w:rPr>
        <w:t>商务部分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（填写正本或副本）</w:t>
      </w:r>
    </w:p>
    <w:p>
      <w:pPr>
        <w:spacing w:line="360" w:lineRule="auto"/>
        <w:ind w:firstLine="480" w:firstLineChars="200"/>
        <w:jc w:val="center"/>
        <w:rPr>
          <w:rFonts w:hint="eastAsia" w:ascii="宋体" w:hAnsi="宋体" w:eastAsia="宋体" w:cs="宋体"/>
          <w:b w:val="0"/>
          <w:bCs/>
          <w:color w:val="auto"/>
          <w:kern w:val="0"/>
          <w:sz w:val="24"/>
          <w:szCs w:val="24"/>
          <w:highlight w:val="none"/>
        </w:rPr>
      </w:pPr>
    </w:p>
    <w:p>
      <w:pPr>
        <w:pStyle w:val="10"/>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0"/>
        <w:rPr>
          <w:rFonts w:hint="eastAsia" w:ascii="宋体" w:hAnsi="宋体" w:eastAsia="宋体" w:cs="宋体"/>
          <w:b w:val="0"/>
          <w:bCs/>
          <w:color w:val="auto"/>
          <w:kern w:val="0"/>
          <w:sz w:val="24"/>
          <w:szCs w:val="24"/>
          <w:highlight w:val="none"/>
        </w:rPr>
      </w:pPr>
    </w:p>
    <w:p>
      <w:pPr>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项目名称：</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项目编号：</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所投采购包：</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宋体" w:hAnsi="宋体" w:eastAsia="宋体" w:cs="宋体"/>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供应商：</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日  期：</w:t>
      </w:r>
      <w:r>
        <w:rPr>
          <w:rFonts w:hint="eastAsia" w:ascii="宋体" w:hAnsi="宋体" w:eastAsia="宋体" w:cs="宋体"/>
          <w:b w:val="0"/>
          <w:bCs/>
          <w:color w:val="auto"/>
          <w:kern w:val="0"/>
          <w:sz w:val="24"/>
          <w:szCs w:val="24"/>
          <w:highlight w:val="none"/>
          <w:u w:val="single"/>
        </w:rPr>
        <w:t xml:space="preserve">                 </w:t>
      </w:r>
    </w:p>
    <w:p>
      <w:pPr>
        <w:widowControl/>
        <w:spacing w:after="0" w:line="24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28"/>
          <w:szCs w:val="28"/>
          <w:highlight w:val="none"/>
        </w:rPr>
        <w:t>格式1  授权委托书</w:t>
      </w:r>
    </w:p>
    <w:p>
      <w:pPr>
        <w:adjustRightInd w:val="0"/>
        <w:snapToGrid w:val="0"/>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1-1法定代表人授权委托书</w:t>
      </w:r>
    </w:p>
    <w:p>
      <w:pPr>
        <w:adjustRightInd w:val="0"/>
        <w:snapToGrid w:val="0"/>
        <w:spacing w:after="0"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(适用于授权代表参加磋商)</w:t>
      </w:r>
    </w:p>
    <w:p>
      <w:pPr>
        <w:pStyle w:val="11"/>
        <w:rPr>
          <w:rFonts w:hint="eastAsia" w:ascii="宋体" w:hAnsi="宋体" w:eastAsia="宋体" w:cs="宋体"/>
          <w:color w:val="auto"/>
          <w:highlight w:val="none"/>
        </w:rPr>
      </w:pPr>
    </w:p>
    <w:p>
      <w:pPr>
        <w:pStyle w:val="11"/>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致____________(采购人或采购代理机构)：</w:t>
      </w:r>
    </w:p>
    <w:p>
      <w:pPr>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本授权书声明：注册于___________ （供应商住址）的___________（供应商名称）法定代表人_______（姓名、职务）代表本公司授权_______（授权代表姓名、职务）为本公司的合法磋商代表，就贵方组织的《</w:t>
      </w:r>
      <w:r>
        <w:rPr>
          <w:rFonts w:hint="eastAsia" w:ascii="宋体" w:hAnsi="宋体" w:eastAsia="宋体" w:cs="宋体"/>
          <w:color w:val="auto"/>
          <w:sz w:val="21"/>
          <w:szCs w:val="21"/>
          <w:highlight w:val="none"/>
          <w:u w:val="single"/>
        </w:rPr>
        <w:t xml:space="preserve">          项目</w:t>
      </w:r>
      <w:r>
        <w:rPr>
          <w:rFonts w:hint="eastAsia" w:ascii="宋体" w:hAnsi="宋体" w:eastAsia="宋体" w:cs="宋体"/>
          <w:color w:val="auto"/>
          <w:sz w:val="21"/>
          <w:szCs w:val="21"/>
          <w:highlight w:val="none"/>
        </w:rPr>
        <w:t>》（项目编号：_______）</w:t>
      </w:r>
      <w:r>
        <w:rPr>
          <w:rFonts w:hint="eastAsia" w:ascii="宋体" w:hAnsi="宋体" w:eastAsia="宋体" w:cs="宋体"/>
          <w:color w:val="auto"/>
          <w:kern w:val="0"/>
          <w:sz w:val="21"/>
          <w:szCs w:val="21"/>
          <w:highlight w:val="none"/>
        </w:rPr>
        <w:t>磋商、澄清、</w:t>
      </w:r>
      <w:r>
        <w:rPr>
          <w:rFonts w:hint="eastAsia" w:ascii="宋体" w:hAnsi="宋体" w:eastAsia="宋体" w:cs="宋体"/>
          <w:color w:val="auto"/>
          <w:sz w:val="21"/>
          <w:szCs w:val="21"/>
          <w:highlight w:val="none"/>
        </w:rPr>
        <w:t>合同的执行，以本公司名义处理一切与之有关的事务。</w:t>
      </w:r>
    </w:p>
    <w:p>
      <w:pPr>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本授权书于______年______月_____日生效，特此声明。</w:t>
      </w:r>
    </w:p>
    <w:p>
      <w:pPr>
        <w:pStyle w:val="11"/>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授权代表无转委托权。</w:t>
      </w:r>
    </w:p>
    <w:p>
      <w:pPr>
        <w:pStyle w:val="11"/>
        <w:adjustRightInd w:val="0"/>
        <w:snapToGrid w:val="0"/>
        <w:spacing w:line="360" w:lineRule="auto"/>
        <w:rPr>
          <w:rFonts w:hint="eastAsia" w:ascii="宋体" w:hAnsi="宋体" w:eastAsia="宋体" w:cs="宋体"/>
          <w:color w:val="auto"/>
          <w:highlight w:val="none"/>
        </w:rPr>
      </w:pPr>
    </w:p>
    <w:tbl>
      <w:tblPr>
        <w:tblStyle w:val="16"/>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vAlign w:val="center"/>
          </w:tcPr>
          <w:p>
            <w:pPr>
              <w:pStyle w:val="11"/>
              <w:adjustRightInd w:val="0"/>
              <w:snapToGrid w:val="0"/>
              <w:spacing w:line="360" w:lineRule="auto"/>
              <w:jc w:val="center"/>
              <w:rPr>
                <w:rFonts w:hint="eastAsia" w:ascii="宋体" w:hAnsi="宋体" w:eastAsia="宋体" w:cs="宋体"/>
                <w:color w:val="auto"/>
                <w:highlight w:val="none"/>
              </w:rPr>
            </w:pPr>
          </w:p>
          <w:p>
            <w:pPr>
              <w:pStyle w:val="11"/>
              <w:adjustRightInd w:val="0"/>
              <w:snapToGrid w:val="0"/>
              <w:spacing w:line="360" w:lineRule="auto"/>
              <w:jc w:val="center"/>
              <w:rPr>
                <w:rFonts w:hint="eastAsia" w:ascii="宋体" w:hAnsi="宋体" w:eastAsia="宋体" w:cs="宋体"/>
                <w:color w:val="auto"/>
                <w:highlight w:val="none"/>
              </w:rPr>
            </w:pPr>
          </w:p>
          <w:p>
            <w:pPr>
              <w:pStyle w:val="11"/>
              <w:adjustRightInd w:val="0"/>
              <w:snapToGrid w:val="0"/>
              <w:spacing w:line="360" w:lineRule="auto"/>
              <w:jc w:val="center"/>
              <w:rPr>
                <w:rFonts w:hint="eastAsia" w:ascii="宋体" w:hAnsi="宋体" w:eastAsia="宋体" w:cs="宋体"/>
                <w:color w:val="auto"/>
                <w:highlight w:val="none"/>
              </w:rPr>
            </w:pPr>
          </w:p>
          <w:p>
            <w:pPr>
              <w:pStyle w:val="11"/>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highlight w:val="none"/>
              </w:rPr>
              <w:t>授权代表</w:t>
            </w:r>
            <w:r>
              <w:rPr>
                <w:rFonts w:hint="eastAsia" w:ascii="宋体" w:hAnsi="宋体" w:eastAsia="宋体" w:cs="宋体"/>
                <w:color w:val="auto"/>
                <w:highlight w:val="none"/>
              </w:rPr>
              <w:t>身份证复印件</w:t>
            </w:r>
          </w:p>
          <w:p>
            <w:pPr>
              <w:pStyle w:val="11"/>
              <w:adjustRightInd w:val="0"/>
              <w:snapToGrid w:val="0"/>
              <w:spacing w:line="360" w:lineRule="auto"/>
              <w:jc w:val="center"/>
              <w:rPr>
                <w:rFonts w:hint="eastAsia" w:ascii="宋体" w:hAnsi="宋体" w:eastAsia="宋体" w:cs="宋体"/>
                <w:color w:val="auto"/>
                <w:highlight w:val="none"/>
              </w:rPr>
            </w:pPr>
          </w:p>
          <w:p>
            <w:pPr>
              <w:pStyle w:val="11"/>
              <w:adjustRightInd w:val="0"/>
              <w:snapToGrid w:val="0"/>
              <w:spacing w:line="360" w:lineRule="auto"/>
              <w:jc w:val="center"/>
              <w:rPr>
                <w:rFonts w:hint="eastAsia" w:ascii="宋体" w:hAnsi="宋体" w:eastAsia="宋体" w:cs="宋体"/>
                <w:color w:val="auto"/>
                <w:highlight w:val="none"/>
              </w:rPr>
            </w:pPr>
          </w:p>
          <w:p>
            <w:pPr>
              <w:pStyle w:val="11"/>
              <w:adjustRightInd w:val="0"/>
              <w:snapToGrid w:val="0"/>
              <w:spacing w:line="360" w:lineRule="auto"/>
              <w:jc w:val="center"/>
              <w:rPr>
                <w:rFonts w:hint="eastAsia" w:ascii="宋体" w:hAnsi="宋体" w:eastAsia="宋体" w:cs="宋体"/>
                <w:color w:val="auto"/>
                <w:highlight w:val="none"/>
              </w:rPr>
            </w:pPr>
          </w:p>
        </w:tc>
      </w:tr>
    </w:tbl>
    <w:p>
      <w:pPr>
        <w:pStyle w:val="11"/>
        <w:adjustRightInd w:val="0"/>
        <w:snapToGrid w:val="0"/>
        <w:spacing w:line="360" w:lineRule="auto"/>
        <w:jc w:val="left"/>
        <w:rPr>
          <w:rFonts w:hint="eastAsia" w:ascii="宋体" w:hAnsi="宋体" w:eastAsia="宋体" w:cs="宋体"/>
          <w:color w:val="auto"/>
          <w:highlight w:val="none"/>
        </w:rPr>
      </w:pPr>
    </w:p>
    <w:p>
      <w:pPr>
        <w:tabs>
          <w:tab w:val="left" w:pos="1230"/>
        </w:tabs>
        <w:topLinePunct/>
        <w:autoSpaceDE w:val="0"/>
        <w:autoSpaceDN w:val="0"/>
        <w:adjustRightInd w:val="0"/>
        <w:snapToGrid w:val="0"/>
        <w:spacing w:after="0" w:line="360" w:lineRule="auto"/>
        <w:ind w:left="3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供应商名称（公章）：________________</w:t>
      </w:r>
    </w:p>
    <w:p>
      <w:pPr>
        <w:tabs>
          <w:tab w:val="left" w:pos="1230"/>
        </w:tabs>
        <w:topLinePunct/>
        <w:autoSpaceDE w:val="0"/>
        <w:autoSpaceDN w:val="0"/>
        <w:adjustRightInd w:val="0"/>
        <w:snapToGrid w:val="0"/>
        <w:spacing w:after="0" w:line="360" w:lineRule="auto"/>
        <w:ind w:left="3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法定代表人（签字或签章）：________________</w:t>
      </w:r>
    </w:p>
    <w:p>
      <w:pPr>
        <w:tabs>
          <w:tab w:val="left" w:pos="1230"/>
        </w:tabs>
        <w:topLinePunct/>
        <w:autoSpaceDE w:val="0"/>
        <w:autoSpaceDN w:val="0"/>
        <w:adjustRightInd w:val="0"/>
        <w:snapToGrid w:val="0"/>
        <w:spacing w:after="0" w:line="360" w:lineRule="auto"/>
        <w:ind w:left="3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授权代表（签字）：________________</w:t>
      </w:r>
    </w:p>
    <w:p>
      <w:pPr>
        <w:tabs>
          <w:tab w:val="left" w:pos="1230"/>
        </w:tabs>
        <w:topLinePunct/>
        <w:autoSpaceDE w:val="0"/>
        <w:autoSpaceDN w:val="0"/>
        <w:adjustRightInd w:val="0"/>
        <w:snapToGrid w:val="0"/>
        <w:spacing w:after="0" w:line="360" w:lineRule="auto"/>
        <w:ind w:left="3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授权代表联系电话：____________</w:t>
      </w:r>
    </w:p>
    <w:p>
      <w:pPr>
        <w:tabs>
          <w:tab w:val="left" w:pos="1230"/>
        </w:tabs>
        <w:topLinePunct/>
        <w:autoSpaceDE w:val="0"/>
        <w:autoSpaceDN w:val="0"/>
        <w:adjustRightInd w:val="0"/>
        <w:snapToGrid w:val="0"/>
        <w:spacing w:after="0" w:line="360" w:lineRule="auto"/>
        <w:ind w:left="3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日期：____________</w:t>
      </w:r>
    </w:p>
    <w:p>
      <w:pPr>
        <w:topLinePunct/>
        <w:autoSpaceDE w:val="0"/>
        <w:autoSpaceDN w:val="0"/>
        <w:adjustRightInd w:val="0"/>
        <w:snapToGrid w:val="0"/>
        <w:spacing w:after="0" w:line="360" w:lineRule="auto"/>
        <w:jc w:val="left"/>
        <w:rPr>
          <w:rFonts w:hint="eastAsia" w:ascii="宋体" w:hAnsi="宋体" w:eastAsia="宋体" w:cs="宋体"/>
          <w:color w:val="auto"/>
          <w:highlight w:val="none"/>
        </w:rPr>
      </w:pPr>
    </w:p>
    <w:p>
      <w:pPr>
        <w:topLinePunct/>
        <w:autoSpaceDE w:val="0"/>
        <w:autoSpaceDN w:val="0"/>
        <w:adjustRightInd w:val="0"/>
        <w:snapToGrid w:val="0"/>
        <w:spacing w:after="0" w:line="360" w:lineRule="auto"/>
        <w:jc w:val="left"/>
        <w:rPr>
          <w:rFonts w:hint="eastAsia" w:ascii="宋体" w:hAnsi="宋体" w:eastAsia="宋体" w:cs="宋体"/>
          <w:i/>
          <w:iCs/>
          <w:color w:val="auto"/>
          <w:highlight w:val="none"/>
        </w:rPr>
      </w:pPr>
      <w:r>
        <w:rPr>
          <w:rFonts w:hint="eastAsia" w:ascii="宋体" w:hAnsi="宋体" w:eastAsia="宋体" w:cs="宋体"/>
          <w:color w:val="auto"/>
          <w:highlight w:val="none"/>
        </w:rPr>
        <w:t>特别说明：</w:t>
      </w:r>
    </w:p>
    <w:p>
      <w:pPr>
        <w:tabs>
          <w:tab w:val="left" w:pos="312"/>
        </w:tabs>
        <w:topLinePunct/>
        <w:autoSpaceDE w:val="0"/>
        <w:autoSpaceDN w:val="0"/>
        <w:adjustRightInd w:val="0"/>
        <w:snapToGrid w:val="0"/>
        <w:spacing w:after="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1.供应商如由授权代表参与磋商活动的，须同时提供《法定代表人授权委托书》和授权代表身份证复印件</w:t>
      </w:r>
      <w:r>
        <w:rPr>
          <w:rFonts w:hint="eastAsia" w:ascii="宋体" w:hAnsi="宋体" w:eastAsia="宋体" w:cs="宋体"/>
          <w:bCs/>
          <w:color w:val="auto"/>
          <w:szCs w:val="21"/>
          <w:highlight w:val="none"/>
        </w:rPr>
        <w:t>（线上采购项目提供扫描件，下同）</w:t>
      </w:r>
      <w:r>
        <w:rPr>
          <w:rFonts w:hint="eastAsia" w:ascii="宋体" w:hAnsi="宋体" w:eastAsia="宋体" w:cs="宋体"/>
          <w:color w:val="auto"/>
          <w:highlight w:val="none"/>
        </w:rPr>
        <w:t>。《法定代表人授权委托书》应当按本格式要求加盖与供应商名称全称一致的标准公章，并签署法定代表人或授权代表的全名或加盖名章</w:t>
      </w:r>
      <w:r>
        <w:rPr>
          <w:rFonts w:hint="eastAsia" w:ascii="宋体" w:hAnsi="宋体" w:eastAsia="宋体" w:cs="宋体"/>
          <w:color w:val="auto"/>
          <w:szCs w:val="21"/>
          <w:highlight w:val="none"/>
        </w:rPr>
        <w:t>。(线上采购项目应上传扫描件)</w:t>
      </w:r>
      <w:r>
        <w:rPr>
          <w:rFonts w:hint="eastAsia" w:ascii="宋体" w:hAnsi="宋体" w:eastAsia="宋体" w:cs="宋体"/>
          <w:color w:val="auto"/>
          <w:highlight w:val="none"/>
        </w:rPr>
        <w:t>。</w:t>
      </w:r>
    </w:p>
    <w:p>
      <w:pPr>
        <w:adjustRightInd w:val="0"/>
        <w:snapToGrid w:val="0"/>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28"/>
          <w:szCs w:val="28"/>
          <w:highlight w:val="none"/>
        </w:rPr>
        <w:t>1-2法定代表人身份证明复印件</w:t>
      </w:r>
    </w:p>
    <w:p>
      <w:pPr>
        <w:adjustRightInd w:val="0"/>
        <w:snapToGrid w:val="0"/>
        <w:spacing w:after="0"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(适用于法定代表人参加磋商)</w:t>
      </w:r>
    </w:p>
    <w:p>
      <w:pPr>
        <w:topLinePunct/>
        <w:autoSpaceDE w:val="0"/>
        <w:autoSpaceDN w:val="0"/>
        <w:adjustRightInd w:val="0"/>
        <w:snapToGrid w:val="0"/>
        <w:spacing w:after="0" w:line="360" w:lineRule="auto"/>
        <w:ind w:firstLine="420" w:firstLineChars="200"/>
        <w:rPr>
          <w:rFonts w:hint="eastAsia" w:ascii="宋体" w:hAnsi="宋体" w:eastAsia="宋体" w:cs="宋体"/>
          <w:color w:val="auto"/>
          <w:highlight w:val="none"/>
        </w:rPr>
      </w:pPr>
    </w:p>
    <w:tbl>
      <w:tblPr>
        <w:tblStyle w:val="16"/>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89" w:type="dxa"/>
            <w:vAlign w:val="center"/>
          </w:tcPr>
          <w:p>
            <w:pPr>
              <w:pStyle w:val="11"/>
              <w:adjustRightInd w:val="0"/>
              <w:snapToGrid w:val="0"/>
              <w:spacing w:line="360" w:lineRule="auto"/>
              <w:jc w:val="center"/>
              <w:rPr>
                <w:rFonts w:hint="eastAsia" w:ascii="宋体" w:hAnsi="宋体" w:eastAsia="宋体" w:cs="宋体"/>
                <w:color w:val="auto"/>
                <w:highlight w:val="none"/>
              </w:rPr>
            </w:pPr>
          </w:p>
          <w:p>
            <w:pPr>
              <w:pStyle w:val="11"/>
              <w:adjustRightInd w:val="0"/>
              <w:snapToGrid w:val="0"/>
              <w:spacing w:line="360" w:lineRule="auto"/>
              <w:jc w:val="center"/>
              <w:rPr>
                <w:rFonts w:hint="eastAsia" w:ascii="宋体" w:hAnsi="宋体" w:eastAsia="宋体" w:cs="宋体"/>
                <w:color w:val="auto"/>
                <w:highlight w:val="none"/>
              </w:rPr>
            </w:pPr>
          </w:p>
          <w:p>
            <w:pPr>
              <w:pStyle w:val="11"/>
              <w:adjustRightInd w:val="0"/>
              <w:snapToGrid w:val="0"/>
              <w:spacing w:line="360" w:lineRule="auto"/>
              <w:jc w:val="center"/>
              <w:rPr>
                <w:rFonts w:hint="eastAsia" w:ascii="宋体" w:hAnsi="宋体" w:eastAsia="宋体" w:cs="宋体"/>
                <w:color w:val="auto"/>
                <w:highlight w:val="none"/>
              </w:rPr>
            </w:pPr>
          </w:p>
          <w:p>
            <w:pPr>
              <w:pStyle w:val="11"/>
              <w:adjustRightInd w:val="0"/>
              <w:snapToGrid w:val="0"/>
              <w:spacing w:line="360" w:lineRule="auto"/>
              <w:jc w:val="center"/>
              <w:rPr>
                <w:rFonts w:hint="eastAsia" w:ascii="宋体" w:hAnsi="宋体" w:eastAsia="宋体" w:cs="宋体"/>
                <w:color w:val="auto"/>
                <w:highlight w:val="none"/>
              </w:rPr>
            </w:pPr>
          </w:p>
          <w:p>
            <w:pPr>
              <w:pStyle w:val="11"/>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法定代表人身份证明复印件</w:t>
            </w:r>
          </w:p>
          <w:p>
            <w:pPr>
              <w:pStyle w:val="11"/>
              <w:adjustRightInd w:val="0"/>
              <w:snapToGrid w:val="0"/>
              <w:spacing w:line="360" w:lineRule="auto"/>
              <w:jc w:val="center"/>
              <w:rPr>
                <w:rFonts w:hint="eastAsia" w:ascii="宋体" w:hAnsi="宋体" w:eastAsia="宋体" w:cs="宋体"/>
                <w:color w:val="auto"/>
                <w:highlight w:val="none"/>
              </w:rPr>
            </w:pPr>
          </w:p>
          <w:p>
            <w:pPr>
              <w:pStyle w:val="11"/>
              <w:adjustRightInd w:val="0"/>
              <w:snapToGrid w:val="0"/>
              <w:spacing w:line="360" w:lineRule="auto"/>
              <w:jc w:val="center"/>
              <w:rPr>
                <w:rFonts w:hint="eastAsia" w:ascii="宋体" w:hAnsi="宋体" w:eastAsia="宋体" w:cs="宋体"/>
                <w:color w:val="auto"/>
                <w:highlight w:val="none"/>
              </w:rPr>
            </w:pPr>
          </w:p>
          <w:p>
            <w:pPr>
              <w:pStyle w:val="11"/>
              <w:adjustRightInd w:val="0"/>
              <w:snapToGrid w:val="0"/>
              <w:spacing w:line="360" w:lineRule="auto"/>
              <w:jc w:val="center"/>
              <w:rPr>
                <w:rFonts w:hint="eastAsia" w:ascii="宋体" w:hAnsi="宋体" w:eastAsia="宋体" w:cs="宋体"/>
                <w:color w:val="auto"/>
                <w:highlight w:val="none"/>
              </w:rPr>
            </w:pPr>
          </w:p>
          <w:p>
            <w:pPr>
              <w:pStyle w:val="11"/>
              <w:adjustRightInd w:val="0"/>
              <w:snapToGrid w:val="0"/>
              <w:spacing w:line="360" w:lineRule="auto"/>
              <w:jc w:val="center"/>
              <w:rPr>
                <w:rFonts w:hint="eastAsia" w:ascii="宋体" w:hAnsi="宋体" w:eastAsia="宋体" w:cs="宋体"/>
                <w:color w:val="auto"/>
                <w:highlight w:val="none"/>
              </w:rPr>
            </w:pPr>
          </w:p>
        </w:tc>
      </w:tr>
    </w:tbl>
    <w:p>
      <w:pPr>
        <w:topLinePunct/>
        <w:autoSpaceDE w:val="0"/>
        <w:autoSpaceDN w:val="0"/>
        <w:adjustRightInd w:val="0"/>
        <w:snapToGrid w:val="0"/>
        <w:spacing w:after="0" w:line="360" w:lineRule="auto"/>
        <w:jc w:val="left"/>
        <w:rPr>
          <w:rFonts w:hint="eastAsia" w:ascii="宋体" w:hAnsi="宋体" w:eastAsia="宋体" w:cs="宋体"/>
          <w:color w:val="auto"/>
          <w:highlight w:val="none"/>
        </w:rPr>
      </w:pPr>
    </w:p>
    <w:p>
      <w:pPr>
        <w:topLinePunct/>
        <w:autoSpaceDE w:val="0"/>
        <w:autoSpaceDN w:val="0"/>
        <w:adjustRightInd w:val="0"/>
        <w:snapToGrid w:val="0"/>
        <w:spacing w:after="0" w:line="360" w:lineRule="auto"/>
        <w:jc w:val="left"/>
        <w:rPr>
          <w:rFonts w:hint="eastAsia" w:ascii="宋体" w:hAnsi="宋体" w:eastAsia="宋体" w:cs="宋体"/>
          <w:i/>
          <w:iCs/>
          <w:color w:val="auto"/>
          <w:highlight w:val="none"/>
        </w:rPr>
      </w:pPr>
      <w:r>
        <w:rPr>
          <w:rFonts w:hint="eastAsia" w:ascii="宋体" w:hAnsi="宋体" w:eastAsia="宋体" w:cs="宋体"/>
          <w:color w:val="auto"/>
          <w:highlight w:val="none"/>
        </w:rPr>
        <w:t>特别说明：</w:t>
      </w:r>
    </w:p>
    <w:p>
      <w:pPr>
        <w:tabs>
          <w:tab w:val="left" w:pos="312"/>
        </w:tabs>
        <w:topLinePunct/>
        <w:autoSpaceDE w:val="0"/>
        <w:autoSpaceDN w:val="0"/>
        <w:adjustRightInd w:val="0"/>
        <w:snapToGrid w:val="0"/>
        <w:spacing w:after="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供应商如由</w:t>
      </w:r>
      <w:r>
        <w:rPr>
          <w:rFonts w:hint="eastAsia" w:ascii="宋体" w:hAnsi="宋体" w:eastAsia="宋体" w:cs="宋体"/>
          <w:b/>
          <w:bCs/>
          <w:color w:val="auto"/>
          <w:highlight w:val="none"/>
        </w:rPr>
        <w:t>法定代表人作为磋商代表参与磋商活动的，仅须提供法定代表人身份证复印件</w:t>
      </w:r>
      <w:r>
        <w:rPr>
          <w:rFonts w:hint="eastAsia" w:ascii="宋体" w:hAnsi="宋体" w:eastAsia="宋体" w:cs="宋体"/>
          <w:bCs/>
          <w:color w:val="auto"/>
          <w:szCs w:val="21"/>
          <w:highlight w:val="none"/>
        </w:rPr>
        <w:t>（线上采购项目提供扫描件，下同）</w:t>
      </w:r>
      <w:r>
        <w:rPr>
          <w:rFonts w:hint="eastAsia" w:ascii="宋体" w:hAnsi="宋体" w:eastAsia="宋体" w:cs="宋体"/>
          <w:color w:val="auto"/>
          <w:highlight w:val="none"/>
        </w:rPr>
        <w:t>。</w:t>
      </w:r>
    </w:p>
    <w:p>
      <w:pPr>
        <w:pStyle w:val="11"/>
        <w:ind w:firstLine="420" w:firstLineChars="200"/>
        <w:rPr>
          <w:rFonts w:hint="eastAsia" w:ascii="宋体" w:hAnsi="宋体" w:eastAsia="宋体" w:cs="宋体"/>
          <w:color w:val="auto"/>
          <w:highlight w:val="none"/>
        </w:rPr>
      </w:pPr>
    </w:p>
    <w:p>
      <w:pPr>
        <w:widowControl/>
        <w:spacing w:after="0" w:line="24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28"/>
          <w:szCs w:val="28"/>
          <w:highlight w:val="none"/>
        </w:rPr>
        <w:t>1-3自然人授权委托书</w:t>
      </w:r>
    </w:p>
    <w:p>
      <w:pPr>
        <w:adjustRightInd w:val="0"/>
        <w:snapToGrid w:val="0"/>
        <w:spacing w:after="0"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(适用于自然人参加磋商)</w:t>
      </w:r>
    </w:p>
    <w:p>
      <w:pPr>
        <w:pStyle w:val="11"/>
        <w:rPr>
          <w:rFonts w:hint="eastAsia" w:ascii="宋体" w:hAnsi="宋体" w:eastAsia="宋体" w:cs="宋体"/>
          <w:b w:val="0"/>
          <w:bCs w:val="0"/>
          <w:color w:val="auto"/>
          <w:sz w:val="21"/>
          <w:szCs w:val="21"/>
          <w:highlight w:val="none"/>
        </w:rPr>
      </w:pPr>
    </w:p>
    <w:p>
      <w:pPr>
        <w:pStyle w:val="11"/>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致____________(采购人或采购代理机构)：</w:t>
      </w:r>
    </w:p>
    <w:p>
      <w:pPr>
        <w:pStyle w:val="11"/>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本授权书声明：我________(姓名、身份证号码)系自然人，现授权委托____________(姓名、身份证号码)以本人名义参加《</w:t>
      </w:r>
      <w:r>
        <w:rPr>
          <w:rFonts w:hint="eastAsia" w:ascii="宋体" w:hAnsi="宋体" w:eastAsia="宋体" w:cs="宋体"/>
          <w:color w:val="auto"/>
          <w:sz w:val="21"/>
          <w:szCs w:val="21"/>
          <w:highlight w:val="none"/>
          <w:u w:val="single"/>
        </w:rPr>
        <w:t xml:space="preserve">          项目</w:t>
      </w:r>
      <w:r>
        <w:rPr>
          <w:rFonts w:hint="eastAsia" w:ascii="宋体" w:hAnsi="宋体" w:eastAsia="宋体" w:cs="宋体"/>
          <w:color w:val="auto"/>
          <w:sz w:val="21"/>
          <w:szCs w:val="21"/>
          <w:highlight w:val="none"/>
        </w:rPr>
        <w:t>》（项目编号：    ）的磋商活动，并代表本人全权办理针对上述项目的磋商、签约等具体事务和签署相关文件。</w:t>
      </w:r>
    </w:p>
    <w:p>
      <w:pPr>
        <w:pStyle w:val="11"/>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本人对被授权人的签字事项负全部责任。</w:t>
      </w:r>
    </w:p>
    <w:p>
      <w:pPr>
        <w:pStyle w:val="11"/>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授权委托代理期限：从　　年　　月　　日起至　　年　　月　　日止。</w:t>
      </w:r>
    </w:p>
    <w:p>
      <w:pPr>
        <w:pStyle w:val="11"/>
        <w:spacing w:line="360" w:lineRule="auto"/>
        <w:ind w:firstLine="420" w:firstLineChars="200"/>
        <w:rPr>
          <w:rFonts w:hint="eastAsia" w:ascii="宋体" w:hAnsi="宋体" w:eastAsia="宋体" w:cs="宋体"/>
          <w:color w:val="auto"/>
          <w:sz w:val="21"/>
          <w:szCs w:val="21"/>
          <w:highlight w:val="none"/>
        </w:rPr>
      </w:pPr>
    </w:p>
    <w:p>
      <w:pPr>
        <w:pStyle w:val="11"/>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代理人无转委托权，特此委托。</w:t>
      </w:r>
    </w:p>
    <w:p>
      <w:pPr>
        <w:pStyle w:val="11"/>
        <w:spacing w:line="360" w:lineRule="auto"/>
        <w:ind w:firstLine="420" w:firstLineChars="200"/>
        <w:rPr>
          <w:rFonts w:hint="eastAsia" w:ascii="宋体" w:hAnsi="宋体" w:eastAsia="宋体" w:cs="宋体"/>
          <w:color w:val="auto"/>
          <w:sz w:val="21"/>
          <w:szCs w:val="21"/>
          <w:highlight w:val="none"/>
        </w:rPr>
      </w:pPr>
    </w:p>
    <w:p>
      <w:pPr>
        <w:pStyle w:val="11"/>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我已在下面签字，以资证明。</w:t>
      </w:r>
    </w:p>
    <w:p>
      <w:pPr>
        <w:pStyle w:val="11"/>
        <w:spacing w:line="360" w:lineRule="auto"/>
        <w:ind w:firstLine="420" w:firstLineChars="200"/>
        <w:rPr>
          <w:rFonts w:hint="eastAsia" w:ascii="宋体" w:hAnsi="宋体" w:eastAsia="宋体" w:cs="宋体"/>
          <w:color w:val="auto"/>
          <w:sz w:val="21"/>
          <w:szCs w:val="21"/>
          <w:highlight w:val="none"/>
        </w:rPr>
      </w:pPr>
    </w:p>
    <w:p>
      <w:pPr>
        <w:pStyle w:val="11"/>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自然人签字并在签名处加盖食指指印：　　　　年　　月　　日</w:t>
      </w:r>
    </w:p>
    <w:p>
      <w:pPr>
        <w:pStyle w:val="11"/>
        <w:spacing w:line="360" w:lineRule="auto"/>
        <w:ind w:firstLine="420" w:firstLineChars="200"/>
        <w:rPr>
          <w:rFonts w:hint="eastAsia" w:ascii="宋体" w:hAnsi="宋体" w:eastAsia="宋体" w:cs="宋体"/>
          <w:color w:val="auto"/>
          <w:sz w:val="21"/>
          <w:szCs w:val="21"/>
          <w:highlight w:val="none"/>
        </w:rPr>
      </w:pPr>
    </w:p>
    <w:p>
      <w:pPr>
        <w:topLinePunct/>
        <w:autoSpaceDE w:val="0"/>
        <w:autoSpaceDN w:val="0"/>
        <w:adjustRightInd w:val="0"/>
        <w:snapToGrid w:val="0"/>
        <w:spacing w:after="0" w:line="360" w:lineRule="auto"/>
        <w:jc w:val="left"/>
        <w:rPr>
          <w:rFonts w:hint="eastAsia" w:ascii="宋体" w:hAnsi="宋体" w:eastAsia="宋体" w:cs="宋体"/>
          <w:color w:val="auto"/>
          <w:sz w:val="21"/>
          <w:szCs w:val="21"/>
          <w:highlight w:val="none"/>
        </w:rPr>
      </w:pPr>
    </w:p>
    <w:p>
      <w:pPr>
        <w:topLinePunct/>
        <w:autoSpaceDE w:val="0"/>
        <w:autoSpaceDN w:val="0"/>
        <w:adjustRightInd w:val="0"/>
        <w:snapToGrid w:val="0"/>
        <w:spacing w:after="0" w:line="360" w:lineRule="auto"/>
        <w:jc w:val="left"/>
        <w:rPr>
          <w:rFonts w:hint="eastAsia" w:ascii="宋体" w:hAnsi="宋体" w:eastAsia="宋体" w:cs="宋体"/>
          <w:i/>
          <w:iCs/>
          <w:color w:val="auto"/>
          <w:highlight w:val="none"/>
        </w:rPr>
      </w:pPr>
      <w:r>
        <w:rPr>
          <w:rFonts w:hint="eastAsia" w:ascii="宋体" w:hAnsi="宋体" w:eastAsia="宋体" w:cs="宋体"/>
          <w:color w:val="auto"/>
          <w:highlight w:val="none"/>
        </w:rPr>
        <w:t>特别说明：</w:t>
      </w:r>
    </w:p>
    <w:p>
      <w:pPr>
        <w:tabs>
          <w:tab w:val="left" w:pos="312"/>
        </w:tabs>
        <w:topLinePunct/>
        <w:autoSpaceDE w:val="0"/>
        <w:autoSpaceDN w:val="0"/>
        <w:adjustRightInd w:val="0"/>
        <w:snapToGrid w:val="0"/>
        <w:spacing w:after="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供应商如由</w:t>
      </w:r>
      <w:r>
        <w:rPr>
          <w:rFonts w:hint="eastAsia" w:ascii="宋体" w:hAnsi="宋体" w:eastAsia="宋体" w:cs="宋体"/>
          <w:b/>
          <w:bCs/>
          <w:color w:val="auto"/>
          <w:highlight w:val="none"/>
        </w:rPr>
        <w:t>被授权人参与磋商活动的，</w:t>
      </w:r>
      <w:r>
        <w:rPr>
          <w:rFonts w:hint="eastAsia" w:ascii="宋体" w:hAnsi="宋体" w:eastAsia="宋体" w:cs="宋体"/>
          <w:color w:val="auto"/>
          <w:highlight w:val="none"/>
        </w:rPr>
        <w:t>须提供《自然人授权委托书》，《自然人授权委托书》应当按本格式要求签字并由自然人在签名处加盖食指指印</w:t>
      </w:r>
      <w:r>
        <w:rPr>
          <w:rFonts w:hint="eastAsia" w:ascii="宋体" w:hAnsi="宋体" w:eastAsia="宋体" w:cs="宋体"/>
          <w:color w:val="auto"/>
          <w:szCs w:val="21"/>
          <w:highlight w:val="none"/>
        </w:rPr>
        <w:t>。</w:t>
      </w:r>
    </w:p>
    <w:p>
      <w:pPr>
        <w:pStyle w:val="11"/>
        <w:spacing w:line="360" w:lineRule="auto"/>
        <w:ind w:firstLine="480" w:firstLineChars="200"/>
        <w:rPr>
          <w:rFonts w:hint="eastAsia" w:ascii="宋体" w:hAnsi="宋体" w:eastAsia="宋体" w:cs="宋体"/>
          <w:color w:val="auto"/>
          <w:sz w:val="24"/>
          <w:szCs w:val="24"/>
          <w:highlight w:val="none"/>
        </w:rPr>
      </w:pPr>
    </w:p>
    <w:p>
      <w:pPr>
        <w:pStyle w:val="11"/>
        <w:ind w:firstLine="420" w:firstLineChars="200"/>
        <w:jc w:val="center"/>
        <w:rPr>
          <w:rFonts w:hint="eastAsia" w:ascii="宋体" w:hAnsi="宋体" w:eastAsia="宋体" w:cs="宋体"/>
          <w:b/>
          <w:bCs/>
          <w:color w:val="auto"/>
          <w:sz w:val="36"/>
          <w:szCs w:val="36"/>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28"/>
          <w:szCs w:val="28"/>
          <w:highlight w:val="none"/>
        </w:rPr>
        <w:t>格式2  磋商响应函</w:t>
      </w:r>
    </w:p>
    <w:p>
      <w:pPr>
        <w:pStyle w:val="11"/>
        <w:topLinePunct/>
        <w:autoSpaceDE w:val="0"/>
        <w:autoSpaceDN w:val="0"/>
        <w:adjustRightInd w:val="0"/>
        <w:snapToGrid w:val="0"/>
        <w:spacing w:line="360" w:lineRule="auto"/>
        <w:rPr>
          <w:rFonts w:hint="eastAsia" w:ascii="宋体" w:hAnsi="宋体" w:eastAsia="宋体" w:cs="宋体"/>
          <w:color w:val="auto"/>
          <w:sz w:val="24"/>
          <w:highlight w:val="none"/>
        </w:rPr>
      </w:pPr>
    </w:p>
    <w:p>
      <w:pPr>
        <w:pStyle w:val="11"/>
        <w:topLinePunct/>
        <w:autoSpaceDE w:val="0"/>
        <w:autoSpaceDN w:val="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致________（采购人或采购代理机构）：</w:t>
      </w:r>
    </w:p>
    <w:p>
      <w:pPr>
        <w:pStyle w:val="11"/>
        <w:topLinePunct/>
        <w:autoSpaceDE w:val="0"/>
        <w:autoSpaceDN w:val="0"/>
        <w:adjustRightInd w:val="0"/>
        <w:snapToGrid w:val="0"/>
        <w:spacing w:line="360" w:lineRule="auto"/>
        <w:ind w:firstLine="428" w:firstLineChars="20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根据______（项目名称）（项目编号：______）的磋商邀请，______（姓名、职务）代表供应商______（供应商名称、地址）参加项目磋商的有关活动。据此函，作如下承诺：</w:t>
      </w:r>
    </w:p>
    <w:p>
      <w:pPr>
        <w:pStyle w:val="24"/>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1.同意在本项目采购文件中规定的开标日起</w:t>
      </w:r>
      <w:r>
        <w:rPr>
          <w:rFonts w:hint="eastAsia" w:ascii="宋体" w:hAnsi="宋体" w:eastAsia="宋体" w:cs="宋体"/>
          <w:color w:val="auto"/>
          <w:sz w:val="21"/>
          <w:szCs w:val="21"/>
          <w:highlight w:val="none"/>
          <w:u w:val="single"/>
        </w:rPr>
        <w:t xml:space="preserve">    天</w:t>
      </w:r>
      <w:r>
        <w:rPr>
          <w:rFonts w:hint="eastAsia" w:ascii="宋体" w:hAnsi="宋体" w:eastAsia="宋体" w:cs="宋体"/>
          <w:color w:val="auto"/>
          <w:sz w:val="21"/>
          <w:szCs w:val="21"/>
          <w:highlight w:val="none"/>
        </w:rPr>
        <w:t>遵守本响应文件中的承诺，且在期满之前均具有约束力。</w:t>
      </w:r>
    </w:p>
    <w:p>
      <w:pPr>
        <w:pStyle w:val="24"/>
        <w:numPr>
          <w:ilvl w:val="0"/>
          <w:numId w:val="0"/>
        </w:numPr>
        <w:tabs>
          <w:tab w:val="left" w:pos="420"/>
        </w:tabs>
        <w:topLinePunct/>
        <w:autoSpaceDE w:val="0"/>
        <w:autoSpaceDN w:val="0"/>
        <w:snapToGrid w:val="0"/>
        <w:spacing w:after="0" w:line="360" w:lineRule="auto"/>
        <w:ind w:firstLine="428" w:firstLineChars="20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2.具备采购相关法律法规规定的参加采购活动的供应商应当具备的条件：</w:t>
      </w:r>
    </w:p>
    <w:p>
      <w:pPr>
        <w:tabs>
          <w:tab w:val="left" w:pos="700"/>
        </w:tabs>
        <w:topLinePunct/>
        <w:autoSpaceDE w:val="0"/>
        <w:autoSpaceDN w:val="0"/>
        <w:adjustRightInd w:val="0"/>
        <w:snapToGrid w:val="0"/>
        <w:spacing w:after="0" w:line="360" w:lineRule="auto"/>
        <w:ind w:firstLine="428" w:firstLineChars="20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pPr>
        <w:tabs>
          <w:tab w:val="left" w:pos="700"/>
        </w:tabs>
        <w:topLinePunct/>
        <w:autoSpaceDE w:val="0"/>
        <w:autoSpaceDN w:val="0"/>
        <w:adjustRightInd w:val="0"/>
        <w:snapToGrid w:val="0"/>
        <w:spacing w:after="0" w:line="360" w:lineRule="auto"/>
        <w:ind w:firstLine="428" w:firstLineChars="20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（2）具有良好的商业信誉和健全的财务会计制度；</w:t>
      </w:r>
    </w:p>
    <w:p>
      <w:pPr>
        <w:tabs>
          <w:tab w:val="left" w:pos="700"/>
        </w:tabs>
        <w:topLinePunct/>
        <w:autoSpaceDE w:val="0"/>
        <w:autoSpaceDN w:val="0"/>
        <w:adjustRightInd w:val="0"/>
        <w:snapToGrid w:val="0"/>
        <w:spacing w:after="0" w:line="360" w:lineRule="auto"/>
        <w:ind w:firstLine="428" w:firstLineChars="20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w:t>
      </w:r>
    </w:p>
    <w:p>
      <w:pPr>
        <w:tabs>
          <w:tab w:val="left" w:pos="700"/>
        </w:tabs>
        <w:topLinePunct/>
        <w:autoSpaceDE w:val="0"/>
        <w:autoSpaceDN w:val="0"/>
        <w:adjustRightInd w:val="0"/>
        <w:snapToGrid w:val="0"/>
        <w:spacing w:after="0" w:line="360" w:lineRule="auto"/>
        <w:ind w:firstLine="428" w:firstLineChars="20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（4）有依法缴纳税收和社会保障资金的良好记录；</w:t>
      </w:r>
    </w:p>
    <w:p>
      <w:pPr>
        <w:tabs>
          <w:tab w:val="left" w:pos="700"/>
        </w:tabs>
        <w:topLinePunct/>
        <w:autoSpaceDE w:val="0"/>
        <w:autoSpaceDN w:val="0"/>
        <w:adjustRightInd w:val="0"/>
        <w:snapToGrid w:val="0"/>
        <w:spacing w:after="0" w:line="360" w:lineRule="auto"/>
        <w:ind w:firstLine="428" w:firstLineChars="20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（5）参加此项采购活动前三年内，在经营活动中没有重大违法记录。</w:t>
      </w:r>
    </w:p>
    <w:p>
      <w:pPr>
        <w:tabs>
          <w:tab w:val="left" w:pos="700"/>
        </w:tabs>
        <w:topLinePunct/>
        <w:autoSpaceDE w:val="0"/>
        <w:autoSpaceDN w:val="0"/>
        <w:adjustRightInd w:val="0"/>
        <w:snapToGrid w:val="0"/>
        <w:spacing w:after="0" w:line="360" w:lineRule="auto"/>
        <w:ind w:firstLine="428" w:firstLineChars="20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（6）法律、行政法规规定的其他条件。 </w:t>
      </w:r>
    </w:p>
    <w:p>
      <w:pPr>
        <w:pStyle w:val="24"/>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3.具备本项目采购文件中规定的其他要求和资质条件。</w:t>
      </w:r>
    </w:p>
    <w:p>
      <w:pPr>
        <w:pStyle w:val="24"/>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4.提供供应商须知规定的全部响应文件。</w:t>
      </w:r>
    </w:p>
    <w:p>
      <w:pPr>
        <w:pStyle w:val="24"/>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5.已详细审阅全部采购文件（包括采购文件澄清函），理解供应商须知的所有条款。</w:t>
      </w:r>
    </w:p>
    <w:p>
      <w:pPr>
        <w:pStyle w:val="24"/>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6.完全理解贵方“最低报价不能作为成交的保证”的规定。</w:t>
      </w:r>
    </w:p>
    <w:p>
      <w:pPr>
        <w:pStyle w:val="24"/>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7.接受采购文件中全部合同条款，且无任何异议；保证忠实地执行双方所签订的合同，并承担合同规定的责任和义务。</w:t>
      </w:r>
    </w:p>
    <w:p>
      <w:pPr>
        <w:pStyle w:val="24"/>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8.完全满足和响应采购文件中的各项商务和技术要求，若有偏差，已在响应文件中明确说明。</w:t>
      </w:r>
    </w:p>
    <w:p>
      <w:pPr>
        <w:pStyle w:val="24"/>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9.愿意提供任何与磋商有关的数据、情况和技术资料等。若贵方需要，愿意提供一切证明材料。</w:t>
      </w:r>
    </w:p>
    <w:p>
      <w:pPr>
        <w:pStyle w:val="24"/>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10.我方已详细审核全部响应文件、参考资料及有关附件，确认无误。</w:t>
      </w:r>
    </w:p>
    <w:p>
      <w:pPr>
        <w:pStyle w:val="24"/>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11.对本次采购内容及与本项目有关的知识产权、技术资料、商业秘密及相关信息保密。</w:t>
      </w:r>
    </w:p>
    <w:p>
      <w:pPr>
        <w:pStyle w:val="24"/>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12.已知悉并承诺遵守《税务系统信息化服务商失信行为记录名单制度(试行) 》关于失信行为进行记录和结果应用的相关规定，及对于违反网络安全规定行为造成不良后果、“围猎”税务人员、违法违规聘用离职税务人员、国家税务总局发票电子化改革领导小组办公室认定的失信行为，3年内限制参加税务系统政府采购活动的相关规定。</w:t>
      </w:r>
    </w:p>
    <w:p>
      <w:pPr>
        <w:pStyle w:val="24"/>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13.已知悉并承诺遵守采购文件中关于供应链安全管理的全部要求。</w:t>
      </w:r>
    </w:p>
    <w:p>
      <w:pPr>
        <w:pStyle w:val="24"/>
        <w:numPr>
          <w:ilvl w:val="0"/>
          <w:numId w:val="0"/>
        </w:numPr>
        <w:tabs>
          <w:tab w:val="left" w:pos="420"/>
        </w:tabs>
        <w:topLinePunct/>
        <w:autoSpaceDE w:val="0"/>
        <w:autoSpaceDN w:val="0"/>
        <w:snapToGrid w:val="0"/>
        <w:spacing w:after="0" w:line="360" w:lineRule="auto"/>
        <w:ind w:firstLine="428" w:firstLineChars="204"/>
        <w:rPr>
          <w:rFonts w:hint="eastAsia" w:ascii="宋体" w:hAnsi="宋体" w:eastAsia="宋体" w:cs="宋体"/>
          <w:color w:val="auto"/>
          <w:sz w:val="21"/>
          <w:szCs w:val="21"/>
          <w:highlight w:val="none"/>
        </w:rPr>
      </w:pPr>
    </w:p>
    <w:p>
      <w:pPr>
        <w:pStyle w:val="24"/>
        <w:numPr>
          <w:ilvl w:val="0"/>
          <w:numId w:val="0"/>
        </w:numPr>
        <w:tabs>
          <w:tab w:val="left" w:pos="420"/>
        </w:tabs>
        <w:topLinePunct/>
        <w:autoSpaceDE w:val="0"/>
        <w:autoSpaceDN w:val="0"/>
        <w:snapToGrid w:val="0"/>
        <w:spacing w:after="0" w:line="360" w:lineRule="auto"/>
        <w:ind w:firstLine="428" w:firstLineChars="204"/>
        <w:rPr>
          <w:rFonts w:hint="eastAsia" w:ascii="宋体" w:hAnsi="宋体" w:eastAsia="宋体" w:cs="宋体"/>
          <w:color w:val="auto"/>
          <w:sz w:val="21"/>
          <w:szCs w:val="21"/>
          <w:highlight w:val="none"/>
        </w:rPr>
      </w:pPr>
    </w:p>
    <w:p>
      <w:pPr>
        <w:pStyle w:val="24"/>
        <w:numPr>
          <w:ilvl w:val="0"/>
          <w:numId w:val="0"/>
        </w:numPr>
        <w:tabs>
          <w:tab w:val="left" w:pos="420"/>
        </w:tabs>
        <w:topLinePunct/>
        <w:autoSpaceDE w:val="0"/>
        <w:autoSpaceDN w:val="0"/>
        <w:snapToGrid w:val="0"/>
        <w:spacing w:after="0" w:line="360" w:lineRule="auto"/>
        <w:ind w:firstLine="428" w:firstLineChars="20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供应商名称（公章）：____________</w:t>
      </w:r>
    </w:p>
    <w:p>
      <w:pPr>
        <w:pStyle w:val="24"/>
        <w:numPr>
          <w:ilvl w:val="0"/>
          <w:numId w:val="0"/>
        </w:numPr>
        <w:tabs>
          <w:tab w:val="left" w:pos="420"/>
        </w:tabs>
        <w:topLinePunct/>
        <w:autoSpaceDE w:val="0"/>
        <w:autoSpaceDN w:val="0"/>
        <w:snapToGrid w:val="0"/>
        <w:spacing w:after="0" w:line="360" w:lineRule="auto"/>
        <w:ind w:firstLine="428" w:firstLineChars="20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法定代表人（签字或签章）/授权代表（签字）：____________</w:t>
      </w:r>
    </w:p>
    <w:p>
      <w:pPr>
        <w:pStyle w:val="24"/>
        <w:numPr>
          <w:ilvl w:val="0"/>
          <w:numId w:val="0"/>
        </w:numPr>
        <w:tabs>
          <w:tab w:val="left" w:pos="420"/>
        </w:tabs>
        <w:topLinePunct/>
        <w:autoSpaceDE w:val="0"/>
        <w:autoSpaceDN w:val="0"/>
        <w:snapToGrid w:val="0"/>
        <w:spacing w:after="0" w:line="360" w:lineRule="auto"/>
        <w:ind w:firstLine="428" w:firstLineChars="20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供应商地址：____________</w:t>
      </w:r>
    </w:p>
    <w:p>
      <w:pPr>
        <w:pStyle w:val="24"/>
        <w:numPr>
          <w:ilvl w:val="0"/>
          <w:numId w:val="0"/>
        </w:numPr>
        <w:tabs>
          <w:tab w:val="left" w:pos="420"/>
        </w:tabs>
        <w:topLinePunct/>
        <w:autoSpaceDE w:val="0"/>
        <w:autoSpaceDN w:val="0"/>
        <w:snapToGrid w:val="0"/>
        <w:spacing w:after="0" w:line="360" w:lineRule="auto"/>
        <w:ind w:firstLine="428" w:firstLineChars="20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邮编：____________</w:t>
      </w:r>
    </w:p>
    <w:p>
      <w:pPr>
        <w:pStyle w:val="24"/>
        <w:numPr>
          <w:ilvl w:val="0"/>
          <w:numId w:val="0"/>
        </w:numPr>
        <w:tabs>
          <w:tab w:val="left" w:pos="420"/>
        </w:tabs>
        <w:topLinePunct/>
        <w:autoSpaceDE w:val="0"/>
        <w:autoSpaceDN w:val="0"/>
        <w:snapToGrid w:val="0"/>
        <w:spacing w:after="0" w:line="360" w:lineRule="auto"/>
        <w:ind w:firstLine="428" w:firstLineChars="20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电话：____________</w:t>
      </w:r>
    </w:p>
    <w:p>
      <w:pPr>
        <w:pStyle w:val="24"/>
        <w:numPr>
          <w:ilvl w:val="0"/>
          <w:numId w:val="0"/>
        </w:numPr>
        <w:tabs>
          <w:tab w:val="left" w:pos="420"/>
        </w:tabs>
        <w:topLinePunct/>
        <w:autoSpaceDE w:val="0"/>
        <w:autoSpaceDN w:val="0"/>
        <w:snapToGrid w:val="0"/>
        <w:spacing w:after="0" w:line="360" w:lineRule="auto"/>
        <w:ind w:firstLine="428" w:firstLineChars="20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传真：____________</w:t>
      </w:r>
    </w:p>
    <w:p>
      <w:pPr>
        <w:pStyle w:val="24"/>
        <w:numPr>
          <w:ilvl w:val="0"/>
          <w:numId w:val="0"/>
        </w:numPr>
        <w:tabs>
          <w:tab w:val="left" w:pos="420"/>
        </w:tabs>
        <w:topLinePunct/>
        <w:autoSpaceDE w:val="0"/>
        <w:autoSpaceDN w:val="0"/>
        <w:snapToGrid w:val="0"/>
        <w:spacing w:after="0" w:line="360" w:lineRule="auto"/>
        <w:ind w:lef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  期：____________          </w:t>
      </w:r>
    </w:p>
    <w:p>
      <w:pPr>
        <w:tabs>
          <w:tab w:val="left" w:pos="1230"/>
        </w:tabs>
        <w:topLinePunct/>
        <w:autoSpaceDE w:val="0"/>
        <w:autoSpaceDN w:val="0"/>
        <w:snapToGrid w:val="0"/>
        <w:spacing w:line="400" w:lineRule="exact"/>
        <w:ind w:left="360"/>
        <w:rPr>
          <w:rFonts w:hint="eastAsia" w:ascii="宋体" w:hAnsi="宋体" w:eastAsia="宋体" w:cs="宋体"/>
          <w:color w:val="auto"/>
          <w:sz w:val="21"/>
          <w:szCs w:val="21"/>
          <w:highlight w:val="none"/>
        </w:rPr>
      </w:pPr>
    </w:p>
    <w:p>
      <w:pPr>
        <w:ind w:firstLine="480" w:firstLineChars="200"/>
        <w:rPr>
          <w:rFonts w:hint="eastAsia" w:ascii="宋体" w:hAnsi="宋体" w:eastAsia="宋体" w:cs="宋体"/>
          <w:color w:val="auto"/>
          <w:sz w:val="24"/>
          <w:highlight w:val="none"/>
        </w:rPr>
      </w:pPr>
    </w:p>
    <w:p>
      <w:pPr>
        <w:adjustRightInd w:val="0"/>
        <w:snapToGrid w:val="0"/>
        <w:spacing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特别说明：</w:t>
      </w:r>
    </w:p>
    <w:p>
      <w:pPr>
        <w:adjustRightInd w:val="0"/>
        <w:snapToGrid w:val="0"/>
        <w:spacing w:after="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供应商应当按上述格式要求加盖与供应商名称全称一致的标准公章，并签署法定代表人或</w:t>
      </w:r>
      <w:r>
        <w:rPr>
          <w:rFonts w:hint="eastAsia" w:ascii="宋体" w:hAnsi="宋体" w:eastAsia="宋体" w:cs="宋体"/>
          <w:bCs/>
          <w:color w:val="auto"/>
          <w:szCs w:val="21"/>
          <w:highlight w:val="none"/>
        </w:rPr>
        <w:t>授权代表</w:t>
      </w:r>
      <w:r>
        <w:rPr>
          <w:rFonts w:hint="eastAsia" w:ascii="宋体" w:hAnsi="宋体" w:eastAsia="宋体" w:cs="宋体"/>
          <w:color w:val="auto"/>
          <w:szCs w:val="21"/>
          <w:highlight w:val="none"/>
        </w:rPr>
        <w:t>的全名或加盖名章，线上采购项目应上传扫描件。</w:t>
      </w:r>
    </w:p>
    <w:p>
      <w:pPr>
        <w:adjustRightInd w:val="0"/>
        <w:snapToGrid w:val="0"/>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格式3  磋商报价表</w:t>
      </w:r>
    </w:p>
    <w:p>
      <w:pPr>
        <w:widowControl/>
        <w:spacing w:after="0" w:line="240" w:lineRule="auto"/>
        <w:jc w:val="center"/>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rPr>
        <w:t>1.报价一览表（总报价表）</w:t>
      </w:r>
    </w:p>
    <w:p>
      <w:pPr>
        <w:pStyle w:val="11"/>
        <w:topLinePunct/>
        <w:autoSpaceDE w:val="0"/>
        <w:autoSpaceDN w:val="0"/>
        <w:adjustRightInd w:val="0"/>
        <w:snapToGrid w:val="0"/>
        <w:spacing w:line="360" w:lineRule="auto"/>
        <w:ind w:left="2"/>
        <w:jc w:val="center"/>
        <w:rPr>
          <w:rFonts w:hint="eastAsia" w:ascii="宋体" w:hAnsi="宋体" w:eastAsia="宋体" w:cs="宋体"/>
          <w:b w:val="0"/>
          <w:bCs w:val="0"/>
          <w:color w:val="auto"/>
          <w:kern w:val="2"/>
          <w:sz w:val="21"/>
          <w:highlight w:val="none"/>
        </w:rPr>
      </w:pPr>
    </w:p>
    <w:p>
      <w:pPr>
        <w:topLinePunct/>
        <w:autoSpaceDE w:val="0"/>
        <w:autoSpaceDN w:val="0"/>
        <w:adjustRightInd w:val="0"/>
        <w:snapToGrid w:val="0"/>
        <w:spacing w:after="0"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adjustRightInd w:val="0"/>
        <w:snapToGrid w:val="0"/>
        <w:spacing w:after="0" w:line="360" w:lineRule="auto"/>
        <w:ind w:right="840"/>
        <w:rPr>
          <w:rFonts w:hint="eastAsia" w:ascii="宋体" w:hAnsi="宋体" w:eastAsia="宋体" w:cs="宋体"/>
          <w:bCs/>
          <w:color w:val="auto"/>
          <w:w w:val="150"/>
          <w:szCs w:val="21"/>
          <w:highlight w:val="none"/>
          <w:lang w:val="en-US" w:eastAsia="zh-CN"/>
        </w:rPr>
      </w:pPr>
      <w:r>
        <w:rPr>
          <w:rFonts w:hint="eastAsia" w:ascii="宋体" w:hAnsi="宋体" w:eastAsia="宋体" w:cs="宋体"/>
          <w:color w:val="auto"/>
          <w:highlight w:val="none"/>
        </w:rPr>
        <w:t>采购包号：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价格单位：</w:t>
      </w:r>
      <w:r>
        <w:rPr>
          <w:rFonts w:hint="eastAsia" w:ascii="宋体" w:hAnsi="宋体" w:cs="宋体"/>
          <w:color w:val="auto"/>
          <w:highlight w:val="none"/>
          <w:lang w:val="en-US" w:eastAsia="zh-CN"/>
        </w:rPr>
        <w:t>元</w:t>
      </w:r>
    </w:p>
    <w:tbl>
      <w:tblPr>
        <w:tblStyle w:val="16"/>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3857"/>
        <w:gridCol w:w="4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083" w:type="dxa"/>
            <w:vAlign w:val="center"/>
          </w:tcPr>
          <w:p>
            <w:pPr>
              <w:adjustRightInd w:val="0"/>
              <w:snapToGrid w:val="0"/>
              <w:spacing w:beforeLines="20" w:afterLines="2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3857" w:type="dxa"/>
            <w:vAlign w:val="center"/>
          </w:tcPr>
          <w:p>
            <w:pPr>
              <w:adjustRightInd w:val="0"/>
              <w:snapToGrid w:val="0"/>
              <w:spacing w:beforeLines="20" w:afterLines="20" w:line="240" w:lineRule="auto"/>
              <w:jc w:val="center"/>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项目名称</w:t>
            </w:r>
          </w:p>
        </w:tc>
        <w:tc>
          <w:tcPr>
            <w:tcW w:w="4392" w:type="dxa"/>
            <w:vAlign w:val="center"/>
          </w:tcPr>
          <w:p>
            <w:pPr>
              <w:adjustRightInd w:val="0"/>
              <w:snapToGrid w:val="0"/>
              <w:spacing w:beforeLines="20" w:afterLines="20" w:line="240" w:lineRule="auto"/>
              <w:jc w:val="center"/>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83" w:type="dxa"/>
            <w:vAlign w:val="center"/>
          </w:tcPr>
          <w:p>
            <w:pPr>
              <w:adjustRightInd w:val="0"/>
              <w:snapToGrid w:val="0"/>
              <w:spacing w:beforeLines="20" w:afterLines="20" w:line="240" w:lineRule="auto"/>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p>
        </w:tc>
        <w:tc>
          <w:tcPr>
            <w:tcW w:w="3857" w:type="dxa"/>
            <w:vAlign w:val="center"/>
          </w:tcPr>
          <w:p>
            <w:pPr>
              <w:adjustRightInd w:val="0"/>
              <w:snapToGrid w:val="0"/>
              <w:spacing w:after="0" w:line="360" w:lineRule="auto"/>
              <w:jc w:val="center"/>
              <w:rPr>
                <w:rFonts w:hint="eastAsia" w:ascii="宋体" w:hAnsi="宋体" w:eastAsia="宋体" w:cs="宋体"/>
                <w:color w:val="auto"/>
                <w:sz w:val="21"/>
                <w:szCs w:val="21"/>
                <w:highlight w:val="none"/>
              </w:rPr>
            </w:pPr>
          </w:p>
        </w:tc>
        <w:tc>
          <w:tcPr>
            <w:tcW w:w="4392" w:type="dxa"/>
            <w:vAlign w:val="center"/>
          </w:tcPr>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大写：___________小写：______</w:t>
            </w:r>
          </w:p>
          <w:p>
            <w:pPr>
              <w:adjustRightInd w:val="0"/>
              <w:snapToGrid w:val="0"/>
              <w:spacing w:beforeLines="20" w:afterLines="20" w:line="240" w:lineRule="auto"/>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（小写请保留至小数点后两位）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940" w:type="dxa"/>
            <w:gridSpan w:val="2"/>
            <w:vAlign w:val="center"/>
          </w:tcPr>
          <w:p>
            <w:pPr>
              <w:adjustRightInd w:val="0"/>
              <w:snapToGrid w:val="0"/>
              <w:spacing w:beforeLines="20" w:afterLines="2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w:t>
            </w:r>
          </w:p>
        </w:tc>
        <w:tc>
          <w:tcPr>
            <w:tcW w:w="4392" w:type="dxa"/>
            <w:vAlign w:val="center"/>
          </w:tcPr>
          <w:p>
            <w:pPr>
              <w:adjustRightInd w:val="0"/>
              <w:snapToGrid w:val="0"/>
              <w:spacing w:beforeLines="20" w:afterLines="20" w:line="240" w:lineRule="auto"/>
              <w:jc w:val="center"/>
              <w:rPr>
                <w:rFonts w:hint="eastAsia" w:ascii="宋体" w:hAnsi="宋体" w:eastAsia="宋体" w:cs="宋体"/>
                <w:color w:val="auto"/>
                <w:sz w:val="21"/>
                <w:szCs w:val="21"/>
                <w:highlight w:val="none"/>
              </w:rPr>
            </w:pPr>
          </w:p>
        </w:tc>
      </w:tr>
    </w:tbl>
    <w:p>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特别说明：</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1.本项目总价及分项报价均不接受任何形式的赠送、“零”报价和折扣报价。</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2.本项目执行中所发生的所有费用均计入总报价中，采购人不再另行支付其他任何费用。</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3.供应商应根据《采购文件-技术部分》相关要求填报。</w:t>
      </w:r>
    </w:p>
    <w:p>
      <w:pPr>
        <w:topLinePunct/>
        <w:autoSpaceDE w:val="0"/>
        <w:autoSpaceDN w:val="0"/>
        <w:adjustRightInd w:val="0"/>
        <w:snapToGrid w:val="0"/>
        <w:spacing w:after="0" w:line="360" w:lineRule="auto"/>
        <w:ind w:firstLine="525" w:firstLineChars="250"/>
        <w:jc w:val="left"/>
        <w:rPr>
          <w:rFonts w:hint="eastAsia" w:ascii="宋体" w:hAnsi="宋体" w:eastAsia="宋体" w:cs="宋体"/>
          <w:color w:val="auto"/>
          <w:sz w:val="21"/>
          <w:szCs w:val="21"/>
          <w:highlight w:val="none"/>
        </w:rPr>
      </w:pP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（全称并加盖公章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授权代表（签字或盖章）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widowControl/>
        <w:spacing w:after="0" w:line="24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2.分项报价表</w:t>
      </w:r>
    </w:p>
    <w:p>
      <w:pPr>
        <w:widowControl/>
        <w:spacing w:after="0" w:line="24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2.1 分项报价表</w:t>
      </w:r>
    </w:p>
    <w:p>
      <w:pPr>
        <w:pStyle w:val="11"/>
        <w:topLinePunct/>
        <w:autoSpaceDE w:val="0"/>
        <w:autoSpaceDN w:val="0"/>
        <w:adjustRightInd w:val="0"/>
        <w:snapToGrid w:val="0"/>
        <w:spacing w:line="360" w:lineRule="auto"/>
        <w:ind w:left="2"/>
        <w:jc w:val="center"/>
        <w:rPr>
          <w:rFonts w:hint="eastAsia"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（服务类项目适用)</w:t>
      </w:r>
    </w:p>
    <w:p>
      <w:pPr>
        <w:topLinePunct/>
        <w:autoSpaceDE w:val="0"/>
        <w:autoSpaceDN w:val="0"/>
        <w:adjustRightInd w:val="0"/>
        <w:snapToGrid w:val="0"/>
        <w:spacing w:after="0"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adjustRightInd w:val="0"/>
        <w:snapToGrid w:val="0"/>
        <w:spacing w:after="0" w:line="360" w:lineRule="auto"/>
        <w:ind w:right="840"/>
        <w:rPr>
          <w:rFonts w:hint="eastAsia" w:ascii="宋体" w:hAnsi="宋体" w:eastAsia="宋体" w:cs="宋体"/>
          <w:bCs/>
          <w:color w:val="auto"/>
          <w:w w:val="150"/>
          <w:szCs w:val="21"/>
          <w:highlight w:val="none"/>
          <w:lang w:val="en-US" w:eastAsia="zh-CN"/>
        </w:rPr>
      </w:pPr>
      <w:r>
        <w:rPr>
          <w:rFonts w:hint="eastAsia" w:ascii="宋体" w:hAnsi="宋体" w:eastAsia="宋体" w:cs="宋体"/>
          <w:color w:val="auto"/>
          <w:highlight w:val="none"/>
        </w:rPr>
        <w:t>采购包号：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价格单位：</w:t>
      </w:r>
      <w:r>
        <w:rPr>
          <w:rFonts w:hint="eastAsia" w:ascii="宋体" w:hAnsi="宋体" w:cs="宋体"/>
          <w:color w:val="auto"/>
          <w:highlight w:val="none"/>
          <w:lang w:val="en-US" w:eastAsia="zh-CN"/>
        </w:rPr>
        <w:t>元</w:t>
      </w:r>
    </w:p>
    <w:tbl>
      <w:tblPr>
        <w:tblStyle w:val="16"/>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4918"/>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86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62" w:beforeLines="20" w:after="62" w:afterLines="2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49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62" w:beforeLines="20" w:after="62" w:afterLines="2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255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62" w:beforeLines="20" w:after="62" w:afterLines="2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价格小计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6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62" w:beforeLines="20" w:after="62" w:afterLines="20"/>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w:t>
            </w:r>
          </w:p>
        </w:tc>
        <w:tc>
          <w:tcPr>
            <w:tcW w:w="49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宋体" w:hAnsi="宋体" w:eastAsia="宋体" w:cs="宋体"/>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62" w:beforeLines="20" w:after="62" w:afterLines="20"/>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6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62" w:beforeLines="20" w:after="62" w:afterLines="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918" w:type="dxa"/>
            <w:tcBorders>
              <w:top w:val="single" w:color="auto" w:sz="4" w:space="0"/>
              <w:left w:val="single" w:color="auto" w:sz="4" w:space="0"/>
              <w:bottom w:val="single" w:color="auto" w:sz="4" w:space="0"/>
              <w:right w:val="single" w:color="auto" w:sz="4" w:space="0"/>
            </w:tcBorders>
            <w:noWrap/>
            <w:vAlign w:val="center"/>
          </w:tcPr>
          <w:p>
            <w:pPr>
              <w:spacing w:line="460" w:lineRule="exact"/>
              <w:jc w:val="left"/>
              <w:rPr>
                <w:rFonts w:hint="eastAsia" w:ascii="宋体" w:hAnsi="宋体" w:eastAsia="宋体" w:cs="宋体"/>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62" w:beforeLines="20" w:after="62" w:afterLines="2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6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62" w:beforeLines="20" w:after="62" w:afterLines="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4918" w:type="dxa"/>
            <w:tcBorders>
              <w:top w:val="single" w:color="auto" w:sz="4" w:space="0"/>
              <w:left w:val="single" w:color="auto" w:sz="4" w:space="0"/>
              <w:bottom w:val="single" w:color="auto" w:sz="4" w:space="0"/>
              <w:right w:val="single" w:color="auto" w:sz="4" w:space="0"/>
            </w:tcBorders>
            <w:noWrap/>
            <w:vAlign w:val="center"/>
          </w:tcPr>
          <w:p>
            <w:pPr>
              <w:spacing w:line="460" w:lineRule="exact"/>
              <w:jc w:val="left"/>
              <w:rPr>
                <w:rFonts w:hint="eastAsia" w:ascii="宋体" w:hAnsi="宋体" w:eastAsia="宋体" w:cs="宋体"/>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62" w:beforeLines="20" w:after="62" w:afterLines="2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779"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62" w:beforeLines="20" w:after="62" w:afterLines="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报价合计（小写）</w:t>
            </w:r>
          </w:p>
        </w:tc>
        <w:tc>
          <w:tcPr>
            <w:tcW w:w="255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62" w:beforeLines="20" w:after="62" w:afterLines="2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779"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62" w:beforeLines="20" w:after="62" w:afterLines="20"/>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报价合计（大写）</w:t>
            </w:r>
          </w:p>
        </w:tc>
        <w:tc>
          <w:tcPr>
            <w:tcW w:w="255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62" w:beforeLines="20" w:after="62" w:afterLines="2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779"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62" w:beforeLines="20" w:after="62" w:afterLines="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w:t>
            </w:r>
          </w:p>
        </w:tc>
        <w:tc>
          <w:tcPr>
            <w:tcW w:w="255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62" w:beforeLines="20" w:after="62" w:afterLines="2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779"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62" w:beforeLines="20" w:after="62" w:afterLines="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55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62" w:beforeLines="20" w:after="62" w:afterLines="20"/>
              <w:jc w:val="center"/>
              <w:rPr>
                <w:rFonts w:hint="eastAsia" w:ascii="宋体" w:hAnsi="宋体" w:eastAsia="宋体" w:cs="宋体"/>
                <w:color w:val="auto"/>
                <w:szCs w:val="21"/>
                <w:highlight w:val="none"/>
              </w:rPr>
            </w:pPr>
          </w:p>
        </w:tc>
      </w:tr>
    </w:tbl>
    <w:p>
      <w:pPr>
        <w:topLinePunct/>
        <w:autoSpaceDE w:val="0"/>
        <w:autoSpaceDN w:val="0"/>
        <w:spacing w:after="0" w:line="360" w:lineRule="auto"/>
        <w:rPr>
          <w:rFonts w:hint="eastAsia" w:ascii="宋体" w:hAnsi="宋体" w:eastAsia="宋体" w:cs="宋体"/>
          <w:color w:val="auto"/>
          <w:szCs w:val="21"/>
          <w:highlight w:val="none"/>
        </w:rPr>
      </w:pPr>
    </w:p>
    <w:p>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特别说明：</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1.本项目总价及分项报价均不接受任何形式的赠送、“零”报价和折扣报价。</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2.本表中小计=数量×单价。</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3.本表仅供参考，可扩展。</w:t>
      </w:r>
    </w:p>
    <w:p>
      <w:pPr>
        <w:pStyle w:val="11"/>
        <w:ind w:firstLine="420" w:firstLineChars="200"/>
        <w:rPr>
          <w:rFonts w:hint="eastAsia" w:ascii="宋体" w:hAnsi="宋体" w:eastAsia="宋体" w:cs="宋体"/>
          <w:color w:val="auto"/>
          <w:highlight w:val="none"/>
        </w:rPr>
      </w:pP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（全称并加盖公章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授权代表（签字或盖章）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pPr>
        <w:widowControl/>
        <w:spacing w:after="0" w:line="24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21"/>
          <w:szCs w:val="21"/>
          <w:highlight w:val="none"/>
        </w:rPr>
        <w:br w:type="page"/>
      </w:r>
      <w:r>
        <w:rPr>
          <w:rFonts w:hint="eastAsia" w:ascii="宋体" w:hAnsi="宋体" w:eastAsia="宋体" w:cs="宋体"/>
          <w:b/>
          <w:bCs/>
          <w:color w:val="auto"/>
          <w:sz w:val="28"/>
          <w:szCs w:val="28"/>
          <w:highlight w:val="none"/>
        </w:rPr>
        <w:t>格式4  商务条款偏离表</w:t>
      </w:r>
    </w:p>
    <w:tbl>
      <w:tblPr>
        <w:tblStyle w:val="16"/>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999"/>
        <w:gridCol w:w="1575"/>
        <w:gridCol w:w="1575"/>
        <w:gridCol w:w="1749"/>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Lines="20" w:after="4"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99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Lines="20" w:after="4"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采购文件条目号</w:t>
            </w:r>
          </w:p>
        </w:tc>
        <w:tc>
          <w:tcPr>
            <w:tcW w:w="157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Lines="20" w:after="4"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采购文件</w:t>
            </w:r>
          </w:p>
          <w:p>
            <w:pPr>
              <w:topLinePunct/>
              <w:autoSpaceDE w:val="0"/>
              <w:autoSpaceDN w:val="0"/>
              <w:spacing w:beforeLines="20" w:after="4"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商务条款</w:t>
            </w:r>
          </w:p>
        </w:tc>
        <w:tc>
          <w:tcPr>
            <w:tcW w:w="157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Lines="20" w:after="4"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响应文件</w:t>
            </w:r>
          </w:p>
          <w:p>
            <w:pPr>
              <w:topLinePunct/>
              <w:autoSpaceDE w:val="0"/>
              <w:autoSpaceDN w:val="0"/>
              <w:spacing w:beforeLines="20" w:after="4"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商务条款</w:t>
            </w:r>
          </w:p>
        </w:tc>
        <w:tc>
          <w:tcPr>
            <w:tcW w:w="174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Lines="20" w:after="4"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偏离</w:t>
            </w:r>
          </w:p>
          <w:p>
            <w:pPr>
              <w:topLinePunct/>
              <w:autoSpaceDE w:val="0"/>
              <w:autoSpaceDN w:val="0"/>
              <w:spacing w:beforeLines="20" w:after="4"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（无/正/负）</w:t>
            </w:r>
          </w:p>
        </w:tc>
        <w:tc>
          <w:tcPr>
            <w:tcW w:w="125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Lines="20" w:after="4"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Lines="20" w:after="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99"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b/>
                <w:bCs/>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b/>
                <w:bCs/>
                <w:color w:val="auto"/>
                <w:sz w:val="21"/>
                <w:szCs w:val="21"/>
                <w:highlight w:val="none"/>
              </w:rPr>
            </w:pPr>
          </w:p>
        </w:tc>
        <w:tc>
          <w:tcPr>
            <w:tcW w:w="1749"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b/>
                <w:bCs/>
                <w:color w:val="auto"/>
                <w:sz w:val="21"/>
                <w:szCs w:val="21"/>
                <w:highlight w:val="none"/>
              </w:rPr>
            </w:pPr>
          </w:p>
        </w:tc>
        <w:tc>
          <w:tcPr>
            <w:tcW w:w="1250"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Lines="20" w:after="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99"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b/>
                <w:bCs/>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b/>
                <w:bCs/>
                <w:color w:val="auto"/>
                <w:sz w:val="21"/>
                <w:szCs w:val="21"/>
                <w:highlight w:val="none"/>
              </w:rPr>
            </w:pPr>
          </w:p>
        </w:tc>
        <w:tc>
          <w:tcPr>
            <w:tcW w:w="1749"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b/>
                <w:bCs/>
                <w:color w:val="auto"/>
                <w:sz w:val="21"/>
                <w:szCs w:val="21"/>
                <w:highlight w:val="none"/>
              </w:rPr>
            </w:pPr>
          </w:p>
        </w:tc>
        <w:tc>
          <w:tcPr>
            <w:tcW w:w="1250"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Lines="20" w:after="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999"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b/>
                <w:bCs/>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b/>
                <w:bCs/>
                <w:color w:val="auto"/>
                <w:sz w:val="21"/>
                <w:szCs w:val="21"/>
                <w:highlight w:val="none"/>
              </w:rPr>
            </w:pPr>
          </w:p>
        </w:tc>
        <w:tc>
          <w:tcPr>
            <w:tcW w:w="1749"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b/>
                <w:bCs/>
                <w:color w:val="auto"/>
                <w:sz w:val="21"/>
                <w:szCs w:val="21"/>
                <w:highlight w:val="none"/>
              </w:rPr>
            </w:pPr>
          </w:p>
        </w:tc>
        <w:tc>
          <w:tcPr>
            <w:tcW w:w="1250"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Lines="20" w:after="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999"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b/>
                <w:bCs/>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b/>
                <w:bCs/>
                <w:color w:val="auto"/>
                <w:sz w:val="21"/>
                <w:szCs w:val="21"/>
                <w:highlight w:val="none"/>
              </w:rPr>
            </w:pPr>
          </w:p>
        </w:tc>
        <w:tc>
          <w:tcPr>
            <w:tcW w:w="1749"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b/>
                <w:bCs/>
                <w:color w:val="auto"/>
                <w:sz w:val="21"/>
                <w:szCs w:val="21"/>
                <w:highlight w:val="none"/>
              </w:rPr>
            </w:pPr>
          </w:p>
        </w:tc>
        <w:tc>
          <w:tcPr>
            <w:tcW w:w="1250"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Lines="20" w:after="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999"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b/>
                <w:bCs/>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b/>
                <w:bCs/>
                <w:color w:val="auto"/>
                <w:sz w:val="21"/>
                <w:szCs w:val="21"/>
                <w:highlight w:val="none"/>
              </w:rPr>
            </w:pPr>
          </w:p>
        </w:tc>
        <w:tc>
          <w:tcPr>
            <w:tcW w:w="1749"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b/>
                <w:bCs/>
                <w:color w:val="auto"/>
                <w:sz w:val="21"/>
                <w:szCs w:val="21"/>
                <w:highlight w:val="none"/>
              </w:rPr>
            </w:pPr>
          </w:p>
        </w:tc>
        <w:tc>
          <w:tcPr>
            <w:tcW w:w="1250"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4" w:line="240" w:lineRule="auto"/>
              <w:jc w:val="center"/>
              <w:rPr>
                <w:rFonts w:hint="eastAsia" w:ascii="宋体" w:hAnsi="宋体" w:eastAsia="宋体" w:cs="宋体"/>
                <w:b/>
                <w:bCs/>
                <w:color w:val="auto"/>
                <w:sz w:val="21"/>
                <w:szCs w:val="21"/>
                <w:highlight w:val="none"/>
              </w:rPr>
            </w:pPr>
          </w:p>
        </w:tc>
      </w:tr>
    </w:tbl>
    <w:p>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特别说明：</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1.按照《采购文件-</w:t>
      </w:r>
      <w:r>
        <w:rPr>
          <w:rFonts w:hint="eastAsia" w:ascii="宋体" w:hAnsi="宋体" w:cs="宋体"/>
          <w:color w:val="auto"/>
          <w:szCs w:val="21"/>
          <w:highlight w:val="none"/>
          <w:lang w:val="en-US" w:eastAsia="zh-CN"/>
        </w:rPr>
        <w:t>商务</w:t>
      </w:r>
      <w:r>
        <w:rPr>
          <w:rFonts w:hint="eastAsia" w:ascii="宋体" w:hAnsi="宋体" w:eastAsia="宋体" w:cs="宋体"/>
          <w:color w:val="auto"/>
          <w:szCs w:val="21"/>
          <w:highlight w:val="none"/>
        </w:rPr>
        <w:t>部分》内容要求</w:t>
      </w:r>
      <w:r>
        <w:rPr>
          <w:rFonts w:hint="eastAsia" w:ascii="宋体" w:hAnsi="宋体" w:cs="宋体"/>
          <w:color w:val="auto"/>
          <w:szCs w:val="21"/>
          <w:highlight w:val="none"/>
          <w:lang w:val="en-US" w:eastAsia="zh-CN"/>
        </w:rPr>
        <w:t>逐条对应</w:t>
      </w:r>
      <w:r>
        <w:rPr>
          <w:rFonts w:hint="eastAsia" w:ascii="宋体" w:hAnsi="宋体" w:eastAsia="宋体" w:cs="宋体"/>
          <w:color w:val="auto"/>
          <w:szCs w:val="21"/>
          <w:highlight w:val="none"/>
        </w:rPr>
        <w:t>，如无偏离，请在此表中填写“无偏离”；如有偏离，请在此表中应答为“正/负偏离”并说明偏离情况。</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2.如《采购文件-商务部分》中有标注★号的，则为实质性要求，必须满足，如应答为“负偏离”，将导致响应无效。</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3.本表可扩展。</w:t>
      </w:r>
    </w:p>
    <w:p>
      <w:pPr>
        <w:topLinePunct/>
        <w:autoSpaceDE w:val="0"/>
        <w:autoSpaceDN w:val="0"/>
        <w:spacing w:line="500" w:lineRule="exact"/>
        <w:rPr>
          <w:rFonts w:hint="eastAsia" w:ascii="宋体" w:hAnsi="宋体" w:eastAsia="宋体" w:cs="宋体"/>
          <w:color w:val="auto"/>
          <w:sz w:val="21"/>
          <w:szCs w:val="21"/>
          <w:highlight w:val="none"/>
        </w:rPr>
      </w:pP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（全称并加盖公章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授权代表（签字或盖章）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pPr>
        <w:rPr>
          <w:rFonts w:hint="eastAsia" w:ascii="宋体" w:hAnsi="宋体" w:eastAsia="宋体" w:cs="宋体"/>
          <w:b/>
          <w:bCs/>
          <w:color w:val="auto"/>
          <w:sz w:val="21"/>
          <w:szCs w:val="21"/>
          <w:highlight w:val="none"/>
        </w:rPr>
      </w:pPr>
    </w:p>
    <w:p>
      <w:pPr>
        <w:snapToGrid w:val="0"/>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格式5  供应商具备资格证明文件</w:t>
      </w:r>
    </w:p>
    <w:p>
      <w:pPr>
        <w:adjustRightInd w:val="0"/>
        <w:snapToGrid w:val="0"/>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5-1供应商基本情况</w:t>
      </w:r>
    </w:p>
    <w:tbl>
      <w:tblPr>
        <w:tblStyle w:val="16"/>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567"/>
        <w:gridCol w:w="1560"/>
        <w:gridCol w:w="1701"/>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pPr>
              <w:pStyle w:val="1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2127" w:type="dxa"/>
            <w:gridSpan w:val="2"/>
            <w:vAlign w:val="center"/>
          </w:tcPr>
          <w:p>
            <w:pPr>
              <w:pStyle w:val="11"/>
              <w:spacing w:line="360" w:lineRule="auto"/>
              <w:jc w:val="center"/>
              <w:rPr>
                <w:rFonts w:hint="eastAsia" w:ascii="宋体" w:hAnsi="宋体" w:eastAsia="宋体" w:cs="宋体"/>
                <w:color w:val="auto"/>
                <w:sz w:val="21"/>
                <w:szCs w:val="21"/>
                <w:highlight w:val="none"/>
              </w:rPr>
            </w:pPr>
          </w:p>
        </w:tc>
        <w:tc>
          <w:tcPr>
            <w:tcW w:w="1701" w:type="dxa"/>
            <w:vAlign w:val="center"/>
          </w:tcPr>
          <w:p>
            <w:pPr>
              <w:pStyle w:val="1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2696" w:type="dxa"/>
            <w:vAlign w:val="center"/>
          </w:tcPr>
          <w:p>
            <w:pPr>
              <w:pStyle w:val="11"/>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pPr>
              <w:pStyle w:val="1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p>
        </w:tc>
        <w:tc>
          <w:tcPr>
            <w:tcW w:w="2127" w:type="dxa"/>
            <w:gridSpan w:val="2"/>
            <w:vAlign w:val="center"/>
          </w:tcPr>
          <w:p>
            <w:pPr>
              <w:pStyle w:val="11"/>
              <w:spacing w:line="360" w:lineRule="auto"/>
              <w:jc w:val="center"/>
              <w:rPr>
                <w:rFonts w:hint="eastAsia" w:ascii="宋体" w:hAnsi="宋体" w:eastAsia="宋体" w:cs="宋体"/>
                <w:color w:val="auto"/>
                <w:sz w:val="21"/>
                <w:szCs w:val="21"/>
                <w:highlight w:val="none"/>
              </w:rPr>
            </w:pPr>
          </w:p>
        </w:tc>
        <w:tc>
          <w:tcPr>
            <w:tcW w:w="1701" w:type="dxa"/>
            <w:vAlign w:val="center"/>
          </w:tcPr>
          <w:p>
            <w:pPr>
              <w:pStyle w:val="1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2696" w:type="dxa"/>
            <w:vAlign w:val="center"/>
          </w:tcPr>
          <w:p>
            <w:pPr>
              <w:pStyle w:val="11"/>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pPr>
              <w:pStyle w:val="1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tc>
        <w:tc>
          <w:tcPr>
            <w:tcW w:w="2127" w:type="dxa"/>
            <w:gridSpan w:val="2"/>
            <w:vAlign w:val="center"/>
          </w:tcPr>
          <w:p>
            <w:pPr>
              <w:pStyle w:val="11"/>
              <w:spacing w:line="360" w:lineRule="auto"/>
              <w:jc w:val="center"/>
              <w:rPr>
                <w:rFonts w:hint="eastAsia" w:ascii="宋体" w:hAnsi="宋体" w:eastAsia="宋体" w:cs="宋体"/>
                <w:color w:val="auto"/>
                <w:sz w:val="21"/>
                <w:szCs w:val="21"/>
                <w:highlight w:val="none"/>
              </w:rPr>
            </w:pPr>
          </w:p>
        </w:tc>
        <w:tc>
          <w:tcPr>
            <w:tcW w:w="1701" w:type="dxa"/>
            <w:vAlign w:val="center"/>
          </w:tcPr>
          <w:p>
            <w:pPr>
              <w:pStyle w:val="1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2696" w:type="dxa"/>
            <w:vAlign w:val="center"/>
          </w:tcPr>
          <w:p>
            <w:pPr>
              <w:pStyle w:val="11"/>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pPr>
              <w:pStyle w:val="1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2127" w:type="dxa"/>
            <w:gridSpan w:val="2"/>
            <w:vAlign w:val="center"/>
          </w:tcPr>
          <w:p>
            <w:pPr>
              <w:pStyle w:val="11"/>
              <w:spacing w:line="360" w:lineRule="auto"/>
              <w:jc w:val="center"/>
              <w:rPr>
                <w:rFonts w:hint="eastAsia" w:ascii="宋体" w:hAnsi="宋体" w:eastAsia="宋体" w:cs="宋体"/>
                <w:color w:val="auto"/>
                <w:sz w:val="21"/>
                <w:szCs w:val="21"/>
                <w:highlight w:val="none"/>
              </w:rPr>
            </w:pPr>
          </w:p>
        </w:tc>
        <w:tc>
          <w:tcPr>
            <w:tcW w:w="1701" w:type="dxa"/>
            <w:vAlign w:val="center"/>
          </w:tcPr>
          <w:p>
            <w:pPr>
              <w:pStyle w:val="1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c>
          <w:tcPr>
            <w:tcW w:w="2696" w:type="dxa"/>
            <w:vAlign w:val="center"/>
          </w:tcPr>
          <w:p>
            <w:pPr>
              <w:pStyle w:val="11"/>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pPr>
              <w:pStyle w:val="1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上年营业收入</w:t>
            </w:r>
          </w:p>
        </w:tc>
        <w:tc>
          <w:tcPr>
            <w:tcW w:w="2127" w:type="dxa"/>
            <w:gridSpan w:val="2"/>
            <w:vAlign w:val="center"/>
          </w:tcPr>
          <w:p>
            <w:pPr>
              <w:pStyle w:val="11"/>
              <w:spacing w:line="360" w:lineRule="auto"/>
              <w:jc w:val="center"/>
              <w:rPr>
                <w:rFonts w:hint="eastAsia" w:ascii="宋体" w:hAnsi="宋体" w:eastAsia="宋体" w:cs="宋体"/>
                <w:color w:val="auto"/>
                <w:sz w:val="21"/>
                <w:szCs w:val="21"/>
                <w:highlight w:val="none"/>
              </w:rPr>
            </w:pPr>
          </w:p>
        </w:tc>
        <w:tc>
          <w:tcPr>
            <w:tcW w:w="1701" w:type="dxa"/>
            <w:vAlign w:val="center"/>
          </w:tcPr>
          <w:p>
            <w:pPr>
              <w:pStyle w:val="1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员工总人数</w:t>
            </w:r>
          </w:p>
        </w:tc>
        <w:tc>
          <w:tcPr>
            <w:tcW w:w="2696" w:type="dxa"/>
            <w:vAlign w:val="center"/>
          </w:tcPr>
          <w:p>
            <w:pPr>
              <w:pStyle w:val="11"/>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gridSpan w:val="2"/>
            <w:vAlign w:val="center"/>
          </w:tcPr>
          <w:p>
            <w:pPr>
              <w:pStyle w:val="1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基本账户开户行及账号</w:t>
            </w:r>
          </w:p>
        </w:tc>
        <w:tc>
          <w:tcPr>
            <w:tcW w:w="5957" w:type="dxa"/>
            <w:gridSpan w:val="3"/>
            <w:vAlign w:val="center"/>
          </w:tcPr>
          <w:p>
            <w:pPr>
              <w:pStyle w:val="11"/>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gridSpan w:val="2"/>
            <w:vAlign w:val="center"/>
          </w:tcPr>
          <w:p>
            <w:pPr>
              <w:pStyle w:val="1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税务登记机关</w:t>
            </w:r>
          </w:p>
        </w:tc>
        <w:tc>
          <w:tcPr>
            <w:tcW w:w="5957" w:type="dxa"/>
            <w:gridSpan w:val="3"/>
            <w:vAlign w:val="center"/>
          </w:tcPr>
          <w:p>
            <w:pPr>
              <w:pStyle w:val="11"/>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gridSpan w:val="2"/>
            <w:vAlign w:val="center"/>
          </w:tcPr>
          <w:p>
            <w:pPr>
              <w:pStyle w:val="1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资质名称</w:t>
            </w:r>
          </w:p>
        </w:tc>
        <w:tc>
          <w:tcPr>
            <w:tcW w:w="1560" w:type="dxa"/>
            <w:vAlign w:val="center"/>
          </w:tcPr>
          <w:p>
            <w:pPr>
              <w:pStyle w:val="1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等级</w:t>
            </w:r>
          </w:p>
        </w:tc>
        <w:tc>
          <w:tcPr>
            <w:tcW w:w="1701" w:type="dxa"/>
            <w:vAlign w:val="center"/>
          </w:tcPr>
          <w:p>
            <w:pPr>
              <w:pStyle w:val="1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发证机关</w:t>
            </w:r>
          </w:p>
        </w:tc>
        <w:tc>
          <w:tcPr>
            <w:tcW w:w="2696" w:type="dxa"/>
            <w:vAlign w:val="center"/>
          </w:tcPr>
          <w:p>
            <w:pPr>
              <w:pStyle w:val="1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gridSpan w:val="2"/>
            <w:vAlign w:val="center"/>
          </w:tcPr>
          <w:p>
            <w:pPr>
              <w:pStyle w:val="11"/>
              <w:spacing w:line="360" w:lineRule="auto"/>
              <w:jc w:val="center"/>
              <w:rPr>
                <w:rFonts w:hint="eastAsia" w:ascii="宋体" w:hAnsi="宋体" w:eastAsia="宋体" w:cs="宋体"/>
                <w:color w:val="auto"/>
                <w:sz w:val="21"/>
                <w:szCs w:val="21"/>
                <w:highlight w:val="none"/>
              </w:rPr>
            </w:pPr>
          </w:p>
        </w:tc>
        <w:tc>
          <w:tcPr>
            <w:tcW w:w="1560" w:type="dxa"/>
            <w:vAlign w:val="center"/>
          </w:tcPr>
          <w:p>
            <w:pPr>
              <w:pStyle w:val="11"/>
              <w:spacing w:line="360" w:lineRule="auto"/>
              <w:jc w:val="center"/>
              <w:rPr>
                <w:rFonts w:hint="eastAsia" w:ascii="宋体" w:hAnsi="宋体" w:eastAsia="宋体" w:cs="宋体"/>
                <w:color w:val="auto"/>
                <w:sz w:val="21"/>
                <w:szCs w:val="21"/>
                <w:highlight w:val="none"/>
              </w:rPr>
            </w:pPr>
          </w:p>
        </w:tc>
        <w:tc>
          <w:tcPr>
            <w:tcW w:w="1701" w:type="dxa"/>
            <w:vAlign w:val="center"/>
          </w:tcPr>
          <w:p>
            <w:pPr>
              <w:pStyle w:val="11"/>
              <w:spacing w:line="360" w:lineRule="auto"/>
              <w:jc w:val="center"/>
              <w:rPr>
                <w:rFonts w:hint="eastAsia" w:ascii="宋体" w:hAnsi="宋体" w:eastAsia="宋体" w:cs="宋体"/>
                <w:color w:val="auto"/>
                <w:sz w:val="21"/>
                <w:szCs w:val="21"/>
                <w:highlight w:val="none"/>
              </w:rPr>
            </w:pPr>
          </w:p>
        </w:tc>
        <w:tc>
          <w:tcPr>
            <w:tcW w:w="2696" w:type="dxa"/>
            <w:vAlign w:val="center"/>
          </w:tcPr>
          <w:p>
            <w:pPr>
              <w:pStyle w:val="11"/>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gridSpan w:val="2"/>
            <w:vAlign w:val="center"/>
          </w:tcPr>
          <w:p>
            <w:pPr>
              <w:pStyle w:val="11"/>
              <w:spacing w:line="360" w:lineRule="auto"/>
              <w:jc w:val="center"/>
              <w:rPr>
                <w:rFonts w:hint="eastAsia" w:ascii="宋体" w:hAnsi="宋体" w:eastAsia="宋体" w:cs="宋体"/>
                <w:color w:val="auto"/>
                <w:sz w:val="21"/>
                <w:szCs w:val="21"/>
                <w:highlight w:val="none"/>
              </w:rPr>
            </w:pPr>
          </w:p>
        </w:tc>
        <w:tc>
          <w:tcPr>
            <w:tcW w:w="1560" w:type="dxa"/>
            <w:vAlign w:val="center"/>
          </w:tcPr>
          <w:p>
            <w:pPr>
              <w:pStyle w:val="11"/>
              <w:spacing w:line="360" w:lineRule="auto"/>
              <w:jc w:val="center"/>
              <w:rPr>
                <w:rFonts w:hint="eastAsia" w:ascii="宋体" w:hAnsi="宋体" w:eastAsia="宋体" w:cs="宋体"/>
                <w:color w:val="auto"/>
                <w:sz w:val="21"/>
                <w:szCs w:val="21"/>
                <w:highlight w:val="none"/>
              </w:rPr>
            </w:pPr>
          </w:p>
        </w:tc>
        <w:tc>
          <w:tcPr>
            <w:tcW w:w="1701" w:type="dxa"/>
            <w:vAlign w:val="center"/>
          </w:tcPr>
          <w:p>
            <w:pPr>
              <w:pStyle w:val="11"/>
              <w:spacing w:line="360" w:lineRule="auto"/>
              <w:jc w:val="center"/>
              <w:rPr>
                <w:rFonts w:hint="eastAsia" w:ascii="宋体" w:hAnsi="宋体" w:eastAsia="宋体" w:cs="宋体"/>
                <w:color w:val="auto"/>
                <w:sz w:val="21"/>
                <w:szCs w:val="21"/>
                <w:highlight w:val="none"/>
              </w:rPr>
            </w:pPr>
          </w:p>
        </w:tc>
        <w:tc>
          <w:tcPr>
            <w:tcW w:w="2696" w:type="dxa"/>
            <w:vAlign w:val="center"/>
          </w:tcPr>
          <w:p>
            <w:pPr>
              <w:pStyle w:val="11"/>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pPr>
              <w:pStyle w:val="1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6524" w:type="dxa"/>
            <w:gridSpan w:val="4"/>
            <w:vAlign w:val="center"/>
          </w:tcPr>
          <w:p>
            <w:pPr>
              <w:pStyle w:val="11"/>
              <w:spacing w:line="360" w:lineRule="auto"/>
              <w:jc w:val="center"/>
              <w:rPr>
                <w:rFonts w:hint="eastAsia" w:ascii="宋体" w:hAnsi="宋体" w:eastAsia="宋体" w:cs="宋体"/>
                <w:color w:val="auto"/>
                <w:sz w:val="21"/>
                <w:szCs w:val="21"/>
                <w:highlight w:val="none"/>
              </w:rPr>
            </w:pPr>
          </w:p>
        </w:tc>
      </w:tr>
    </w:tbl>
    <w:p>
      <w:pPr>
        <w:topLinePunct/>
        <w:autoSpaceDE w:val="0"/>
        <w:autoSpaceDN w:val="0"/>
        <w:spacing w:line="500" w:lineRule="exact"/>
        <w:rPr>
          <w:rFonts w:hint="eastAsia" w:ascii="宋体" w:hAnsi="宋体" w:eastAsia="宋体" w:cs="宋体"/>
          <w:color w:val="auto"/>
          <w:sz w:val="24"/>
          <w:highlight w:val="none"/>
        </w:rPr>
      </w:pP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（全称并加盖公章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授权代表（签字或盖章）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pPr>
        <w:pStyle w:val="11"/>
        <w:ind w:firstLine="420" w:firstLineChars="200"/>
        <w:rPr>
          <w:rFonts w:hint="eastAsia" w:ascii="宋体" w:hAnsi="宋体" w:eastAsia="宋体" w:cs="宋体"/>
          <w:color w:val="auto"/>
          <w:highlight w:val="none"/>
        </w:rPr>
      </w:pPr>
    </w:p>
    <w:p>
      <w:pPr>
        <w:widowControl/>
        <w:spacing w:after="0" w:line="24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28"/>
          <w:szCs w:val="28"/>
          <w:highlight w:val="none"/>
        </w:rPr>
        <w:t>5-</w:t>
      </w: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 xml:space="preserve"> 财务状况报告</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根据资格条件要求提供相应材料。</w:t>
      </w:r>
    </w:p>
    <w:p>
      <w:pPr>
        <w:spacing w:line="360" w:lineRule="auto"/>
        <w:ind w:firstLine="480" w:firstLineChars="200"/>
        <w:jc w:val="left"/>
        <w:rPr>
          <w:rFonts w:hint="eastAsia" w:ascii="宋体" w:hAnsi="宋体" w:eastAsia="宋体" w:cs="宋体"/>
          <w:color w:val="auto"/>
          <w:kern w:val="0"/>
          <w:sz w:val="24"/>
          <w:highlight w:val="none"/>
        </w:rPr>
      </w:pPr>
    </w:p>
    <w:p>
      <w:pPr>
        <w:spacing w:line="360" w:lineRule="auto"/>
        <w:ind w:firstLine="480" w:firstLineChars="200"/>
        <w:jc w:val="left"/>
        <w:rPr>
          <w:rFonts w:hint="eastAsia" w:ascii="宋体" w:hAnsi="宋体" w:eastAsia="宋体" w:cs="宋体"/>
          <w:color w:val="auto"/>
          <w:kern w:val="0"/>
          <w:sz w:val="24"/>
          <w:highlight w:val="none"/>
        </w:rPr>
      </w:pPr>
    </w:p>
    <w:p>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5-</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依法缴纳税收的相关材料</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根据资格条件要求提供相应材料。</w:t>
      </w:r>
    </w:p>
    <w:p>
      <w:pPr>
        <w:spacing w:line="360" w:lineRule="auto"/>
        <w:ind w:firstLine="480" w:firstLineChars="200"/>
        <w:jc w:val="left"/>
        <w:rPr>
          <w:rFonts w:hint="eastAsia" w:ascii="宋体" w:hAnsi="宋体" w:eastAsia="宋体" w:cs="宋体"/>
          <w:color w:val="auto"/>
          <w:kern w:val="0"/>
          <w:sz w:val="24"/>
          <w:highlight w:val="none"/>
        </w:rPr>
      </w:pPr>
    </w:p>
    <w:p>
      <w:pPr>
        <w:spacing w:line="360" w:lineRule="auto"/>
        <w:ind w:firstLine="480" w:firstLineChars="200"/>
        <w:jc w:val="left"/>
        <w:rPr>
          <w:rFonts w:hint="eastAsia" w:ascii="宋体" w:hAnsi="宋体" w:eastAsia="宋体" w:cs="宋体"/>
          <w:color w:val="auto"/>
          <w:kern w:val="0"/>
          <w:sz w:val="24"/>
          <w:highlight w:val="none"/>
        </w:rPr>
      </w:pPr>
    </w:p>
    <w:p>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5-</w:t>
      </w: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依法缴纳社会保障资金的相关材料</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根据资格条件要求提供相应材料。</w:t>
      </w:r>
    </w:p>
    <w:p>
      <w:pPr>
        <w:spacing w:line="360" w:lineRule="auto"/>
        <w:ind w:firstLine="480" w:firstLineChars="200"/>
        <w:jc w:val="left"/>
        <w:rPr>
          <w:rFonts w:hint="eastAsia" w:ascii="宋体" w:hAnsi="宋体" w:eastAsia="宋体" w:cs="宋体"/>
          <w:color w:val="auto"/>
          <w:kern w:val="0"/>
          <w:sz w:val="24"/>
          <w:highlight w:val="none"/>
        </w:rPr>
      </w:pPr>
    </w:p>
    <w:p>
      <w:pPr>
        <w:spacing w:line="360" w:lineRule="auto"/>
        <w:ind w:firstLine="480" w:firstLineChars="200"/>
        <w:jc w:val="left"/>
        <w:rPr>
          <w:rFonts w:hint="eastAsia" w:ascii="宋体" w:hAnsi="宋体" w:eastAsia="宋体" w:cs="宋体"/>
          <w:color w:val="auto"/>
          <w:kern w:val="0"/>
          <w:sz w:val="24"/>
          <w:highlight w:val="none"/>
        </w:rPr>
      </w:pPr>
    </w:p>
    <w:p>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5-</w:t>
      </w: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具备履行合同所必需的设备和专业技术能力的证明材料</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根据资格条件要求提供相应材料。</w:t>
      </w:r>
    </w:p>
    <w:p>
      <w:pPr>
        <w:adjustRightInd w:val="0"/>
        <w:snapToGrid w:val="0"/>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28"/>
          <w:szCs w:val="28"/>
          <w:highlight w:val="none"/>
        </w:rPr>
        <w:t>5-</w:t>
      </w: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rPr>
        <w:t>参加本次采购活动前三年内在经营活动中</w:t>
      </w:r>
    </w:p>
    <w:p>
      <w:pPr>
        <w:snapToGrid w:val="0"/>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没有重大违法记录的书面声明</w:t>
      </w:r>
    </w:p>
    <w:p>
      <w:pPr>
        <w:pStyle w:val="11"/>
        <w:topLinePunct/>
        <w:autoSpaceDE w:val="0"/>
        <w:autoSpaceDN w:val="0"/>
        <w:snapToGrid w:val="0"/>
        <w:spacing w:line="360" w:lineRule="auto"/>
        <w:jc w:val="center"/>
        <w:rPr>
          <w:rFonts w:hint="eastAsia" w:ascii="宋体" w:hAnsi="宋体" w:eastAsia="宋体" w:cs="宋体"/>
          <w:b/>
          <w:color w:val="auto"/>
          <w:w w:val="150"/>
          <w:sz w:val="21"/>
          <w:szCs w:val="21"/>
          <w:highlight w:val="none"/>
        </w:rPr>
      </w:pPr>
    </w:p>
    <w:p>
      <w:pPr>
        <w:pStyle w:val="11"/>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致________（采购人或采购代理机构）：</w:t>
      </w:r>
    </w:p>
    <w:p>
      <w:pPr>
        <w:pStyle w:val="11"/>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我单位在参加本次采购活动前三年内在经营活动中没有《政府采购法》第二十二条第一款第（五）项所称重大违法记录，包括：</w:t>
      </w:r>
    </w:p>
    <w:p>
      <w:pPr>
        <w:pStyle w:val="11"/>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我单位未因经营活动中的违法行为受到刑事处罚或者责令停产停业、吊销许可证或者执照、较大数额罚款等行政处罚。</w:t>
      </w:r>
    </w:p>
    <w:p>
      <w:pPr>
        <w:pStyle w:val="11"/>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特此声明！</w:t>
      </w:r>
    </w:p>
    <w:p>
      <w:pPr>
        <w:snapToGrid w:val="0"/>
        <w:spacing w:after="0" w:line="360" w:lineRule="auto"/>
        <w:ind w:firstLine="420" w:firstLineChars="200"/>
        <w:rPr>
          <w:rFonts w:hint="eastAsia" w:ascii="宋体" w:hAnsi="宋体" w:eastAsia="宋体" w:cs="宋体"/>
          <w:color w:val="auto"/>
          <w:sz w:val="21"/>
          <w:szCs w:val="21"/>
          <w:highlight w:val="none"/>
        </w:rPr>
      </w:pPr>
    </w:p>
    <w:p>
      <w:pPr>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（请供应商根据实际情况如实声明，否则视为提供虚假材料。）</w:t>
      </w:r>
    </w:p>
    <w:p>
      <w:pPr>
        <w:snapToGrid w:val="0"/>
        <w:spacing w:after="0" w:line="360" w:lineRule="auto"/>
        <w:ind w:firstLine="420" w:firstLineChars="200"/>
        <w:rPr>
          <w:rFonts w:hint="eastAsia" w:ascii="宋体" w:hAnsi="宋体" w:eastAsia="宋体" w:cs="宋体"/>
          <w:color w:val="auto"/>
          <w:sz w:val="21"/>
          <w:szCs w:val="21"/>
          <w:highlight w:val="none"/>
        </w:rPr>
      </w:pP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（全称并加盖公章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授权代表（签字或盖章）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pPr>
        <w:widowControl/>
        <w:spacing w:after="0" w:line="240" w:lineRule="auto"/>
        <w:jc w:val="center"/>
        <w:rPr>
          <w:rFonts w:hint="eastAsia" w:ascii="宋体" w:hAnsi="宋体" w:eastAsia="宋体" w:cs="宋体"/>
          <w:b/>
          <w:bCs/>
          <w:color w:val="auto"/>
          <w:sz w:val="36"/>
          <w:szCs w:val="36"/>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28"/>
          <w:szCs w:val="28"/>
          <w:highlight w:val="none"/>
        </w:rPr>
        <w:t>5-</w:t>
      </w:r>
      <w:r>
        <w:rPr>
          <w:rFonts w:hint="eastAsia" w:ascii="宋体" w:hAnsi="宋体" w:eastAsia="宋体" w:cs="宋体"/>
          <w:b/>
          <w:bCs/>
          <w:color w:val="auto"/>
          <w:sz w:val="28"/>
          <w:szCs w:val="28"/>
          <w:highlight w:val="none"/>
          <w:lang w:val="en-US" w:eastAsia="zh-CN"/>
        </w:rPr>
        <w:t>7</w:t>
      </w:r>
      <w:r>
        <w:rPr>
          <w:rFonts w:hint="eastAsia" w:ascii="宋体" w:hAnsi="宋体" w:eastAsia="宋体" w:cs="宋体"/>
          <w:b/>
          <w:bCs/>
          <w:color w:val="auto"/>
          <w:sz w:val="28"/>
          <w:szCs w:val="28"/>
          <w:highlight w:val="none"/>
        </w:rPr>
        <w:t>具备法律、行政法规规定的其他条件的证明材料</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根据资格条件要求提供相应材料。</w:t>
      </w:r>
    </w:p>
    <w:p>
      <w:pPr>
        <w:widowControl/>
        <w:spacing w:after="0" w:line="24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28"/>
          <w:szCs w:val="28"/>
          <w:highlight w:val="none"/>
        </w:rPr>
        <w:t>5-</w:t>
      </w:r>
      <w:r>
        <w:rPr>
          <w:rFonts w:hint="eastAsia" w:ascii="宋体"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联合体协议（若有）</w:t>
      </w:r>
    </w:p>
    <w:p>
      <w:pPr>
        <w:pStyle w:val="11"/>
        <w:topLinePunct/>
        <w:autoSpaceDE w:val="0"/>
        <w:autoSpaceDN w:val="0"/>
        <w:snapToGrid w:val="0"/>
        <w:spacing w:line="360" w:lineRule="auto"/>
        <w:jc w:val="center"/>
        <w:rPr>
          <w:rFonts w:hint="eastAsia" w:ascii="宋体" w:hAnsi="宋体" w:eastAsia="宋体" w:cs="宋体"/>
          <w:b/>
          <w:color w:val="auto"/>
          <w:w w:val="150"/>
          <w:sz w:val="24"/>
          <w:highlight w:val="none"/>
        </w:rPr>
      </w:pPr>
    </w:p>
    <w:p>
      <w:pPr>
        <w:pStyle w:val="11"/>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致________（采购人或采购代理机构）：</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经研究，我方决定自愿组成联合体共同参加____________(项目名称、项目编号)项目的磋商。</w:t>
      </w:r>
      <w:r>
        <w:rPr>
          <w:rFonts w:hint="eastAsia" w:ascii="宋体" w:hAnsi="宋体" w:eastAsia="宋体" w:cs="宋体"/>
          <w:color w:val="auto"/>
          <w:kern w:val="0"/>
          <w:sz w:val="21"/>
          <w:szCs w:val="21"/>
          <w:highlight w:val="none"/>
        </w:rPr>
        <w:t>现就联合体参加本项目磋商的有关</w:t>
      </w:r>
      <w:r>
        <w:rPr>
          <w:rFonts w:hint="eastAsia" w:ascii="宋体" w:hAnsi="宋体" w:eastAsia="宋体" w:cs="宋体"/>
          <w:color w:val="auto"/>
          <w:sz w:val="21"/>
          <w:szCs w:val="21"/>
          <w:highlight w:val="none"/>
        </w:rPr>
        <w:t>事宜订立如下协议：</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一、联合体成员：</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1.____________________</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2.____________________</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3.____________________</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二、____________(某成员单位名称)为____________(联合体名称)牵头人。</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联合体牵头人合法代表联合体各成员负责本项目响应文件编制活动，代表联合体提交和接收相关的资料、信息及指示，并处理与磋商有关的一切事务；联合体成交后，联合体牵头人负责合同订立和实施阶段的主办、组织和协调工作。</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四、联合体将严格按照采购文件的各项要求，递交响应文件，参加磋商，履行成交义务和成交后的合同，并向采购人承担连带责任。</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五、联合体各成员单位内部的职责分工如下：____________。按照本条上述分工，联合体成员单位各自所承担的合同工作量比例如下：____________。</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六、本协议书自签署之日起生效，合同履行完毕后自动失效。</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七、本协议书一式______份，联合体成员和采购人各执一份。</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牵头人名称(公章)：____________</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法定代表人或其授权代表(签字或盖章)：____________</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成员名称(公章)：____________</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法定代表人或其授权代表(签字或盖章)：____________</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pacing w:after="0" w:line="360" w:lineRule="auto"/>
        <w:ind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______年____月____日</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备注：本协议书由授权代表签字的，应附法定代表人签字的授权委托书。</w:t>
      </w:r>
    </w:p>
    <w:p>
      <w:pPr>
        <w:keepNext w:val="0"/>
        <w:keepLines w:val="0"/>
        <w:pageBreakBefore w:val="0"/>
        <w:widowControl/>
        <w:kinsoku/>
        <w:wordWrap/>
        <w:overflowPunct/>
        <w:topLinePunct w:val="0"/>
        <w:autoSpaceDE/>
        <w:autoSpaceDN/>
        <w:bidi w:val="0"/>
        <w:adjustRightInd/>
        <w:spacing w:after="0" w:line="360" w:lineRule="auto"/>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8"/>
          <w:szCs w:val="28"/>
          <w:highlight w:val="none"/>
        </w:rPr>
        <w:t>5-</w:t>
      </w:r>
      <w:r>
        <w:rPr>
          <w:rFonts w:hint="eastAsia" w:ascii="宋体" w:hAnsi="宋体" w:eastAsia="宋体" w:cs="宋体"/>
          <w:b/>
          <w:bCs/>
          <w:color w:val="auto"/>
          <w:sz w:val="28"/>
          <w:szCs w:val="28"/>
          <w:highlight w:val="none"/>
          <w:lang w:val="en-US" w:eastAsia="zh-CN"/>
        </w:rPr>
        <w:t>9</w:t>
      </w:r>
      <w:r>
        <w:rPr>
          <w:rFonts w:hint="eastAsia" w:ascii="宋体" w:hAnsi="宋体" w:eastAsia="宋体" w:cs="宋体"/>
          <w:b/>
          <w:bCs/>
          <w:color w:val="auto"/>
          <w:sz w:val="28"/>
          <w:szCs w:val="28"/>
          <w:highlight w:val="none"/>
        </w:rPr>
        <w:t>其他资格证明文件（若有）</w:t>
      </w:r>
    </w:p>
    <w:p>
      <w:pPr>
        <w:rPr>
          <w:rFonts w:hint="eastAsia" w:ascii="宋体" w:hAnsi="宋体" w:eastAsia="宋体" w:cs="宋体"/>
          <w:color w:val="auto"/>
          <w:highlight w:val="none"/>
        </w:rPr>
      </w:pP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根据资格条件要求提供相应材料。</w:t>
      </w:r>
    </w:p>
    <w:p>
      <w:pPr>
        <w:rPr>
          <w:rFonts w:hint="eastAsia" w:ascii="宋体" w:hAnsi="宋体" w:eastAsia="宋体" w:cs="宋体"/>
          <w:color w:val="auto"/>
          <w:sz w:val="24"/>
          <w:highlight w:val="none"/>
        </w:rPr>
      </w:pPr>
    </w:p>
    <w:p>
      <w:pPr>
        <w:snapToGrid w:val="0"/>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28"/>
          <w:szCs w:val="28"/>
          <w:highlight w:val="none"/>
        </w:rPr>
        <w:t>格式6  中小企业声明函</w:t>
      </w:r>
    </w:p>
    <w:p>
      <w:pPr>
        <w:widowControl/>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中小企业声明函（工程、服务）</w:t>
      </w:r>
    </w:p>
    <w:p>
      <w:pPr>
        <w:widowControl/>
        <w:spacing w:after="0" w:line="360" w:lineRule="auto"/>
        <w:ind w:firstLine="420" w:firstLineChars="200"/>
        <w:jc w:val="left"/>
        <w:rPr>
          <w:rFonts w:hint="eastAsia" w:ascii="宋体" w:hAnsi="宋体" w:eastAsia="宋体" w:cs="宋体"/>
          <w:color w:val="auto"/>
          <w:kern w:val="0"/>
          <w:sz w:val="21"/>
          <w:szCs w:val="21"/>
          <w:highlight w:val="none"/>
        </w:rPr>
      </w:pPr>
    </w:p>
    <w:p>
      <w:pPr>
        <w:pStyle w:val="11"/>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i/>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iCs/>
          <w:color w:val="auto"/>
          <w:sz w:val="21"/>
          <w:szCs w:val="21"/>
          <w:highlight w:val="none"/>
          <w:u w:val="single"/>
        </w:rPr>
        <w:t>（项目名称）</w:t>
      </w:r>
      <w:r>
        <w:rPr>
          <w:rFonts w:hint="eastAsia" w:ascii="宋体" w:hAnsi="宋体" w:eastAsia="宋体" w:cs="宋体"/>
          <w:color w:val="auto"/>
          <w:sz w:val="21"/>
          <w:szCs w:val="21"/>
          <w:highlight w:val="none"/>
        </w:rPr>
        <w:t>采购活动，服务全部由符合政策要求的中小企业承接。相关企业（含联合体中的中小企业、签订分包意向协议的中小企业）的具体情况如下：</w:t>
      </w:r>
    </w:p>
    <w:p>
      <w:pPr>
        <w:pStyle w:val="11"/>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i/>
          <w:iCs/>
          <w:color w:val="auto"/>
          <w:sz w:val="21"/>
          <w:szCs w:val="21"/>
          <w:highlight w:val="none"/>
          <w:u w:val="single"/>
        </w:rPr>
        <w:t xml:space="preserve"> （标的名称） </w:t>
      </w:r>
      <w:r>
        <w:rPr>
          <w:rFonts w:hint="eastAsia" w:ascii="宋体" w:hAnsi="宋体" w:eastAsia="宋体" w:cs="宋体"/>
          <w:color w:val="auto"/>
          <w:sz w:val="21"/>
          <w:szCs w:val="21"/>
          <w:highlight w:val="none"/>
        </w:rPr>
        <w:t>，属于</w:t>
      </w:r>
      <w:r>
        <w:rPr>
          <w:rFonts w:hint="eastAsia" w:ascii="宋体" w:hAnsi="宋体" w:eastAsia="宋体" w:cs="宋体"/>
          <w:i/>
          <w:iCs/>
          <w:color w:val="auto"/>
          <w:sz w:val="21"/>
          <w:szCs w:val="21"/>
          <w:highlight w:val="none"/>
          <w:u w:val="single"/>
        </w:rPr>
        <w:t>（采购文件中明确的所属行业）</w:t>
      </w:r>
      <w:r>
        <w:rPr>
          <w:rFonts w:hint="eastAsia" w:ascii="宋体" w:hAnsi="宋体" w:eastAsia="宋体" w:cs="宋体"/>
          <w:color w:val="auto"/>
          <w:sz w:val="21"/>
          <w:szCs w:val="21"/>
          <w:highlight w:val="none"/>
        </w:rPr>
        <w:t>；承建（承接）企业为</w:t>
      </w:r>
      <w:r>
        <w:rPr>
          <w:rFonts w:hint="eastAsia" w:ascii="宋体" w:hAnsi="宋体" w:eastAsia="宋体" w:cs="宋体"/>
          <w:i/>
          <w:iCs/>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iCs/>
          <w:color w:val="auto"/>
          <w:sz w:val="21"/>
          <w:szCs w:val="21"/>
          <w:highlight w:val="none"/>
          <w:u w:val="single"/>
        </w:rPr>
        <w:t>（中型企业、小型企业、微型企业）</w:t>
      </w:r>
      <w:r>
        <w:rPr>
          <w:rFonts w:hint="eastAsia" w:ascii="宋体" w:hAnsi="宋体" w:eastAsia="宋体" w:cs="宋体"/>
          <w:color w:val="auto"/>
          <w:sz w:val="21"/>
          <w:szCs w:val="21"/>
          <w:highlight w:val="none"/>
        </w:rPr>
        <w:t xml:space="preserve">； </w:t>
      </w:r>
    </w:p>
    <w:p>
      <w:pPr>
        <w:pStyle w:val="11"/>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i/>
          <w:iCs/>
          <w:color w:val="auto"/>
          <w:sz w:val="21"/>
          <w:szCs w:val="21"/>
          <w:highlight w:val="none"/>
          <w:u w:val="single"/>
        </w:rPr>
        <w:t xml:space="preserve"> （标的名称） </w:t>
      </w:r>
      <w:r>
        <w:rPr>
          <w:rFonts w:hint="eastAsia" w:ascii="宋体" w:hAnsi="宋体" w:eastAsia="宋体" w:cs="宋体"/>
          <w:color w:val="auto"/>
          <w:sz w:val="21"/>
          <w:szCs w:val="21"/>
          <w:highlight w:val="none"/>
        </w:rPr>
        <w:t>，属于</w:t>
      </w:r>
      <w:r>
        <w:rPr>
          <w:rFonts w:hint="eastAsia" w:ascii="宋体" w:hAnsi="宋体" w:eastAsia="宋体" w:cs="宋体"/>
          <w:i/>
          <w:iCs/>
          <w:color w:val="auto"/>
          <w:sz w:val="21"/>
          <w:szCs w:val="21"/>
          <w:highlight w:val="none"/>
          <w:u w:val="single"/>
        </w:rPr>
        <w:t>（采购文件中明确的所属行业）</w:t>
      </w:r>
      <w:r>
        <w:rPr>
          <w:rFonts w:hint="eastAsia" w:ascii="宋体" w:hAnsi="宋体" w:eastAsia="宋体" w:cs="宋体"/>
          <w:color w:val="auto"/>
          <w:sz w:val="21"/>
          <w:szCs w:val="21"/>
          <w:highlight w:val="none"/>
        </w:rPr>
        <w:t>；承建（承接）企业为</w:t>
      </w:r>
      <w:r>
        <w:rPr>
          <w:rFonts w:hint="eastAsia" w:ascii="宋体" w:hAnsi="宋体" w:eastAsia="宋体" w:cs="宋体"/>
          <w:i/>
          <w:iCs/>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iCs/>
          <w:color w:val="auto"/>
          <w:sz w:val="21"/>
          <w:szCs w:val="21"/>
          <w:highlight w:val="none"/>
          <w:u w:val="single"/>
        </w:rPr>
        <w:t>（中型企业、小型企业、微型企业）</w:t>
      </w:r>
      <w:r>
        <w:rPr>
          <w:rFonts w:hint="eastAsia" w:ascii="宋体" w:hAnsi="宋体" w:eastAsia="宋体" w:cs="宋体"/>
          <w:color w:val="auto"/>
          <w:sz w:val="21"/>
          <w:szCs w:val="21"/>
          <w:highlight w:val="none"/>
        </w:rPr>
        <w:t xml:space="preserve">； </w:t>
      </w:r>
    </w:p>
    <w:p>
      <w:pPr>
        <w:pStyle w:val="11"/>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pStyle w:val="11"/>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pPr>
        <w:pStyle w:val="11"/>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本企业对上述声明内容的真实性负责。如有虚假，将依法承担相应责任。 </w:t>
      </w:r>
    </w:p>
    <w:p>
      <w:pPr>
        <w:pStyle w:val="11"/>
        <w:snapToGrid w:val="0"/>
        <w:spacing w:line="360" w:lineRule="auto"/>
        <w:ind w:firstLine="420" w:firstLineChars="200"/>
        <w:rPr>
          <w:rFonts w:hint="eastAsia" w:ascii="宋体" w:hAnsi="宋体" w:eastAsia="宋体" w:cs="宋体"/>
          <w:color w:val="auto"/>
          <w:sz w:val="21"/>
          <w:szCs w:val="21"/>
          <w:highlight w:val="none"/>
        </w:rPr>
      </w:pPr>
    </w:p>
    <w:p>
      <w:pPr>
        <w:pStyle w:val="11"/>
        <w:snapToGrid w:val="0"/>
        <w:spacing w:line="360" w:lineRule="auto"/>
        <w:ind w:firstLine="420" w:firstLineChars="200"/>
        <w:rPr>
          <w:rFonts w:hint="eastAsia" w:ascii="宋体" w:hAnsi="宋体" w:eastAsia="宋体" w:cs="宋体"/>
          <w:color w:val="auto"/>
          <w:sz w:val="21"/>
          <w:szCs w:val="21"/>
          <w:highlight w:val="none"/>
        </w:rPr>
      </w:pP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（全称并加盖公章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pPr>
        <w:pStyle w:val="11"/>
        <w:snapToGrid w:val="0"/>
        <w:spacing w:line="360" w:lineRule="auto"/>
        <w:ind w:firstLine="420" w:firstLineChars="200"/>
        <w:rPr>
          <w:rFonts w:hint="eastAsia" w:ascii="宋体" w:hAnsi="宋体" w:eastAsia="宋体" w:cs="宋体"/>
          <w:color w:val="auto"/>
          <w:sz w:val="21"/>
          <w:szCs w:val="21"/>
          <w:highlight w:val="none"/>
        </w:rPr>
      </w:pPr>
    </w:p>
    <w:p>
      <w:pPr>
        <w:pStyle w:val="11"/>
        <w:snapToGrid w:val="0"/>
        <w:spacing w:line="360" w:lineRule="auto"/>
        <w:ind w:firstLine="420" w:firstLineChars="200"/>
        <w:rPr>
          <w:rFonts w:hint="eastAsia" w:ascii="宋体" w:hAnsi="宋体" w:eastAsia="宋体" w:cs="宋体"/>
          <w:color w:val="auto"/>
          <w:sz w:val="21"/>
          <w:szCs w:val="21"/>
          <w:highlight w:val="none"/>
        </w:rPr>
      </w:pPr>
    </w:p>
    <w:p>
      <w:pPr>
        <w:widowControl/>
        <w:rPr>
          <w:rFonts w:hint="eastAsia" w:ascii="宋体" w:hAnsi="宋体" w:eastAsia="宋体" w:cs="宋体"/>
          <w:color w:val="auto"/>
          <w:highlight w:val="none"/>
        </w:rPr>
      </w:pPr>
    </w:p>
    <w:p>
      <w:pPr>
        <w:widowControl/>
        <w:jc w:val="left"/>
        <w:rPr>
          <w:rFonts w:hint="eastAsia" w:ascii="宋体" w:hAnsi="宋体" w:eastAsia="宋体" w:cs="宋体"/>
          <w:color w:val="auto"/>
          <w:highlight w:val="none"/>
        </w:rPr>
      </w:pPr>
      <w:r>
        <w:rPr>
          <w:rFonts w:hint="eastAsia" w:ascii="宋体" w:hAnsi="宋体" w:eastAsia="宋体" w:cs="宋体"/>
          <w:color w:val="auto"/>
          <w:kern w:val="0"/>
          <w:sz w:val="18"/>
          <w:szCs w:val="18"/>
          <w:highlight w:val="none"/>
        </w:rPr>
        <w:t>1从业人员、营业收入、资产总额填报上一年度数据，无上一年度数据的新成立企业可不填报。</w:t>
      </w:r>
    </w:p>
    <w:p>
      <w:pPr>
        <w:pStyle w:val="11"/>
        <w:snapToGrid w:val="0"/>
        <w:spacing w:line="360" w:lineRule="auto"/>
        <w:ind w:firstLine="480" w:firstLineChars="200"/>
        <w:rPr>
          <w:rFonts w:hint="eastAsia" w:ascii="宋体" w:hAnsi="宋体" w:eastAsia="宋体" w:cs="宋体"/>
          <w:color w:val="auto"/>
          <w:sz w:val="24"/>
          <w:szCs w:val="24"/>
          <w:highlight w:val="none"/>
        </w:rPr>
      </w:pPr>
    </w:p>
    <w:p>
      <w:pPr>
        <w:pStyle w:val="11"/>
        <w:topLinePunct/>
        <w:autoSpaceDE w:val="0"/>
        <w:autoSpaceDN w:val="0"/>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28"/>
          <w:szCs w:val="28"/>
          <w:highlight w:val="none"/>
        </w:rPr>
        <w:t>格式7  残疾人福利性单位声明函</w:t>
      </w:r>
    </w:p>
    <w:p>
      <w:pPr>
        <w:spacing w:line="588" w:lineRule="exact"/>
        <w:rPr>
          <w:rFonts w:hint="eastAsia" w:ascii="宋体" w:hAnsi="宋体" w:eastAsia="宋体" w:cs="宋体"/>
          <w:b/>
          <w:color w:val="auto"/>
          <w:spacing w:val="6"/>
          <w:sz w:val="30"/>
          <w:szCs w:val="30"/>
          <w:highlight w:val="none"/>
        </w:rPr>
      </w:pPr>
    </w:p>
    <w:p>
      <w:pPr>
        <w:spacing w:line="588"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pPr>
        <w:spacing w:line="588" w:lineRule="exact"/>
        <w:ind w:firstLine="444" w:firstLineChars="200"/>
        <w:rPr>
          <w:rFonts w:hint="eastAsia" w:ascii="宋体" w:hAnsi="宋体" w:eastAsia="宋体" w:cs="宋体"/>
          <w:color w:val="auto"/>
          <w:spacing w:val="6"/>
          <w:sz w:val="21"/>
          <w:szCs w:val="21"/>
          <w:highlight w:val="none"/>
        </w:rPr>
      </w:pP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（全称并加盖公章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pPr>
        <w:topLinePunct/>
        <w:autoSpaceDE w:val="0"/>
        <w:autoSpaceDN w:val="0"/>
        <w:spacing w:line="460" w:lineRule="exact"/>
        <w:jc w:val="center"/>
        <w:rPr>
          <w:rFonts w:hint="eastAsia" w:ascii="宋体" w:hAnsi="宋体" w:eastAsia="宋体" w:cs="宋体"/>
          <w:color w:val="auto"/>
          <w:spacing w:val="6"/>
          <w:sz w:val="21"/>
          <w:szCs w:val="21"/>
          <w:highlight w:val="none"/>
        </w:rPr>
      </w:pPr>
    </w:p>
    <w:p>
      <w:pPr>
        <w:rPr>
          <w:rFonts w:hint="eastAsia" w:ascii="宋体" w:hAnsi="宋体" w:eastAsia="宋体" w:cs="宋体"/>
          <w:b/>
          <w:bCs/>
          <w:color w:val="auto"/>
          <w:sz w:val="28"/>
          <w:szCs w:val="28"/>
          <w:highlight w:val="none"/>
        </w:rPr>
      </w:pPr>
    </w:p>
    <w:p>
      <w:pPr>
        <w:pStyle w:val="24"/>
        <w:numPr>
          <w:ilvl w:val="0"/>
          <w:numId w:val="0"/>
        </w:numPr>
        <w:tabs>
          <w:tab w:val="left" w:pos="420"/>
        </w:tabs>
        <w:snapToGrid w:val="0"/>
        <w:spacing w:line="460" w:lineRule="atLeast"/>
        <w:jc w:val="center"/>
        <w:rPr>
          <w:rFonts w:hint="eastAsia" w:ascii="宋体" w:hAnsi="宋体" w:eastAsia="宋体" w:cs="宋体"/>
          <w:b/>
          <w:bCs/>
          <w:color w:val="auto"/>
          <w:kern w:val="44"/>
          <w:sz w:val="28"/>
          <w:szCs w:val="28"/>
          <w:highlight w:val="none"/>
        </w:rPr>
      </w:pPr>
      <w:r>
        <w:rPr>
          <w:rFonts w:hint="eastAsia" w:ascii="宋体" w:hAnsi="宋体" w:eastAsia="宋体" w:cs="宋体"/>
          <w:color w:val="auto"/>
          <w:kern w:val="2"/>
          <w:sz w:val="28"/>
          <w:szCs w:val="28"/>
          <w:highlight w:val="none"/>
        </w:rPr>
        <w:br w:type="page"/>
      </w:r>
      <w:r>
        <w:rPr>
          <w:rFonts w:hint="eastAsia" w:ascii="宋体" w:hAnsi="宋体" w:eastAsia="宋体" w:cs="宋体"/>
          <w:b/>
          <w:bCs/>
          <w:color w:val="auto"/>
          <w:kern w:val="44"/>
          <w:sz w:val="28"/>
          <w:szCs w:val="28"/>
          <w:highlight w:val="none"/>
        </w:rPr>
        <w:t>格式8 成功案例一览表</w:t>
      </w:r>
    </w:p>
    <w:p>
      <w:pPr>
        <w:pStyle w:val="11"/>
        <w:topLinePunct/>
        <w:autoSpaceDE w:val="0"/>
        <w:autoSpaceDN w:val="0"/>
        <w:adjustRightInd w:val="0"/>
        <w:snapToGrid w:val="0"/>
        <w:spacing w:line="360" w:lineRule="auto"/>
        <w:ind w:left="2"/>
        <w:jc w:val="center"/>
        <w:rPr>
          <w:rFonts w:hint="eastAsia"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w:t>
      </w:r>
      <w:r>
        <w:rPr>
          <w:rFonts w:hint="eastAsia" w:ascii="宋体" w:hAnsi="宋体" w:eastAsia="宋体" w:cs="宋体"/>
          <w:b w:val="0"/>
          <w:bCs w:val="0"/>
          <w:i/>
          <w:color w:val="auto"/>
          <w:kern w:val="2"/>
          <w:sz w:val="21"/>
          <w:highlight w:val="none"/>
        </w:rPr>
        <w:t>根据采购文件要求调整</w:t>
      </w:r>
      <w:r>
        <w:rPr>
          <w:rFonts w:hint="eastAsia" w:ascii="宋体" w:hAnsi="宋体" w:eastAsia="宋体" w:cs="宋体"/>
          <w:b w:val="0"/>
          <w:bCs w:val="0"/>
          <w:color w:val="auto"/>
          <w:kern w:val="2"/>
          <w:sz w:val="21"/>
          <w:highlight w:val="none"/>
        </w:rPr>
        <w:t>）</w:t>
      </w:r>
    </w:p>
    <w:tbl>
      <w:tblPr>
        <w:tblStyle w:val="16"/>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819"/>
        <w:gridCol w:w="864"/>
        <w:gridCol w:w="707"/>
        <w:gridCol w:w="744"/>
        <w:gridCol w:w="1221"/>
        <w:gridCol w:w="1161"/>
        <w:gridCol w:w="1065"/>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1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w:t>
            </w:r>
          </w:p>
          <w:p>
            <w:pPr>
              <w:topLinePunct/>
              <w:autoSpaceDE w:val="0"/>
              <w:autoSpaceDN w:val="0"/>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86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w:t>
            </w:r>
          </w:p>
          <w:p>
            <w:pPr>
              <w:topLinePunct/>
              <w:autoSpaceDE w:val="0"/>
              <w:autoSpaceDN w:val="0"/>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w:t>
            </w:r>
          </w:p>
        </w:tc>
        <w:tc>
          <w:tcPr>
            <w:tcW w:w="707"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合同时间</w:t>
            </w:r>
          </w:p>
        </w:tc>
        <w:tc>
          <w:tcPr>
            <w:tcW w:w="74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w:t>
            </w:r>
          </w:p>
          <w:p>
            <w:pPr>
              <w:topLinePunct/>
              <w:autoSpaceDE w:val="0"/>
              <w:autoSpaceDN w:val="0"/>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金额</w:t>
            </w:r>
          </w:p>
        </w:tc>
        <w:tc>
          <w:tcPr>
            <w:tcW w:w="122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合同主要</w:t>
            </w:r>
          </w:p>
          <w:p>
            <w:pPr>
              <w:topLinePunct/>
              <w:autoSpaceDE w:val="0"/>
              <w:autoSpaceDN w:val="0"/>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116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用  户</w:t>
            </w:r>
          </w:p>
          <w:p>
            <w:pPr>
              <w:topLinePunct/>
              <w:autoSpaceDE w:val="0"/>
              <w:autoSpaceDN w:val="0"/>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联系人</w:t>
            </w:r>
          </w:p>
        </w:tc>
        <w:tc>
          <w:tcPr>
            <w:tcW w:w="106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用户联</w:t>
            </w:r>
          </w:p>
          <w:p>
            <w:pPr>
              <w:topLinePunct/>
              <w:autoSpaceDE w:val="0"/>
              <w:autoSpaceDN w:val="0"/>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系电话</w:t>
            </w:r>
          </w:p>
        </w:tc>
        <w:tc>
          <w:tcPr>
            <w:tcW w:w="1737"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1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707"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1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707"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1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707"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1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707"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1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707"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81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707"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r>
    </w:tbl>
    <w:p>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特别说明：</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1.提供20</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年1月1日以来（以合同签订日期为准），供应商独立承担的</w:t>
      </w:r>
      <w:r>
        <w:rPr>
          <w:rFonts w:hint="eastAsia" w:ascii="宋体" w:hAnsi="宋体" w:eastAsia="宋体" w:cs="宋体"/>
          <w:color w:val="auto"/>
          <w:sz w:val="21"/>
          <w:szCs w:val="21"/>
          <w:highlight w:val="none"/>
        </w:rPr>
        <w:t>同类项目</w:t>
      </w:r>
      <w:r>
        <w:rPr>
          <w:rFonts w:hint="eastAsia" w:ascii="宋体" w:hAnsi="宋体" w:eastAsia="宋体" w:cs="宋体"/>
          <w:color w:val="auto"/>
          <w:szCs w:val="21"/>
          <w:highlight w:val="none"/>
        </w:rPr>
        <w:t>的项目案例。</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2.应提供合同复印件（线上采购项目提供扫描件，下同）。合同复印件应能清晰体现合同甲乙双方、合同时间、合同金额、合同主要内容等，并提供对方联系人及联系方式，否则不能获得相应分值。</w:t>
      </w:r>
    </w:p>
    <w:p>
      <w:pPr>
        <w:pStyle w:val="11"/>
        <w:topLinePunct/>
        <w:autoSpaceDE w:val="0"/>
        <w:autoSpaceDN w:val="0"/>
        <w:spacing w:line="460" w:lineRule="exact"/>
        <w:jc w:val="center"/>
        <w:rPr>
          <w:rFonts w:hint="eastAsia" w:ascii="宋体" w:hAnsi="宋体" w:eastAsia="宋体" w:cs="宋体"/>
          <w:b/>
          <w:bCs/>
          <w:color w:val="auto"/>
          <w:sz w:val="36"/>
          <w:szCs w:val="36"/>
          <w:highlight w:val="none"/>
        </w:rPr>
      </w:pPr>
      <w:bookmarkStart w:id="48" w:name="_Toc1062827402"/>
      <w:bookmarkStart w:id="49" w:name="_Toc2129800646"/>
      <w:bookmarkStart w:id="50" w:name="_Toc989815653"/>
      <w:bookmarkStart w:id="51" w:name="_Toc579775874"/>
      <w:bookmarkStart w:id="52" w:name="_Toc665197788"/>
      <w:bookmarkStart w:id="53" w:name="_Toc18814"/>
      <w:bookmarkStart w:id="54" w:name="_Toc1229686241"/>
      <w:bookmarkStart w:id="55" w:name="_Toc1093498656"/>
      <w:bookmarkStart w:id="56" w:name="_Toc315564887"/>
      <w:bookmarkStart w:id="57" w:name="_Toc240142232"/>
    </w:p>
    <w:p>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pPr>
        <w:spacing w:line="600" w:lineRule="auto"/>
        <w:jc w:val="center"/>
        <w:rPr>
          <w:rFonts w:hint="eastAsia" w:ascii="宋体" w:hAnsi="宋体" w:eastAsia="宋体" w:cs="宋体"/>
          <w:b/>
          <w:color w:val="auto"/>
          <w:kern w:val="0"/>
          <w:sz w:val="44"/>
          <w:szCs w:val="44"/>
          <w:highlight w:val="none"/>
        </w:rPr>
      </w:pPr>
    </w:p>
    <w:p>
      <w:pPr>
        <w:pStyle w:val="10"/>
        <w:rPr>
          <w:rFonts w:hint="eastAsia" w:ascii="宋体" w:hAnsi="宋体" w:eastAsia="宋体" w:cs="宋体"/>
          <w:b/>
          <w:color w:val="auto"/>
          <w:kern w:val="0"/>
          <w:sz w:val="44"/>
          <w:szCs w:val="44"/>
          <w:highlight w:val="none"/>
        </w:rPr>
      </w:pPr>
    </w:p>
    <w:p>
      <w:pPr>
        <w:rPr>
          <w:rFonts w:hint="eastAsia" w:ascii="宋体" w:hAnsi="宋体" w:eastAsia="宋体" w:cs="宋体"/>
          <w:color w:val="auto"/>
          <w:highlight w:val="none"/>
        </w:rPr>
      </w:pPr>
    </w:p>
    <w:p>
      <w:pPr>
        <w:spacing w:line="600" w:lineRule="auto"/>
        <w:jc w:val="center"/>
        <w:rPr>
          <w:rFonts w:hint="eastAsia" w:ascii="宋体" w:hAnsi="宋体" w:eastAsia="宋体" w:cs="宋体"/>
          <w:b w:val="0"/>
          <w:bCs/>
          <w:color w:val="auto"/>
          <w:kern w:val="0"/>
          <w:sz w:val="32"/>
          <w:szCs w:val="32"/>
          <w:highlight w:val="none"/>
        </w:rPr>
      </w:pPr>
      <w:r>
        <w:rPr>
          <w:rFonts w:hint="eastAsia" w:ascii="宋体" w:hAnsi="宋体" w:eastAsia="宋体" w:cs="宋体"/>
          <w:b w:val="0"/>
          <w:bCs/>
          <w:color w:val="auto"/>
          <w:kern w:val="0"/>
          <w:sz w:val="32"/>
          <w:szCs w:val="32"/>
          <w:highlight w:val="none"/>
        </w:rPr>
        <w:t>响  应  文  件</w:t>
      </w:r>
    </w:p>
    <w:p>
      <w:pPr>
        <w:spacing w:line="600" w:lineRule="auto"/>
        <w:jc w:val="center"/>
        <w:rPr>
          <w:rFonts w:hint="eastAsia" w:ascii="宋体" w:hAnsi="宋体" w:eastAsia="宋体" w:cs="宋体"/>
          <w:b w:val="0"/>
          <w:bCs/>
          <w:color w:val="auto"/>
          <w:kern w:val="0"/>
          <w:sz w:val="32"/>
          <w:szCs w:val="32"/>
          <w:highlight w:val="none"/>
        </w:rPr>
      </w:pPr>
      <w:r>
        <w:rPr>
          <w:rFonts w:hint="eastAsia" w:ascii="宋体" w:hAnsi="宋体" w:eastAsia="宋体" w:cs="宋体"/>
          <w:b w:val="0"/>
          <w:bCs/>
          <w:color w:val="auto"/>
          <w:kern w:val="0"/>
          <w:sz w:val="32"/>
          <w:szCs w:val="32"/>
          <w:highlight w:val="none"/>
        </w:rPr>
        <w:t>技术部分</w:t>
      </w:r>
    </w:p>
    <w:p>
      <w:pPr>
        <w:spacing w:line="360" w:lineRule="auto"/>
        <w:ind w:firstLine="640" w:firstLineChars="200"/>
        <w:jc w:val="center"/>
        <w:rPr>
          <w:rFonts w:hint="eastAsia" w:ascii="宋体" w:hAnsi="宋体" w:eastAsia="宋体" w:cs="宋体"/>
          <w:color w:val="auto"/>
          <w:kern w:val="0"/>
          <w:sz w:val="32"/>
          <w:szCs w:val="32"/>
          <w:highlight w:val="none"/>
        </w:rPr>
      </w:pPr>
    </w:p>
    <w:p>
      <w:pPr>
        <w:spacing w:line="360" w:lineRule="auto"/>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（填写正本或副本）</w:t>
      </w:r>
    </w:p>
    <w:p>
      <w:pPr>
        <w:spacing w:line="360" w:lineRule="auto"/>
        <w:ind w:firstLine="480" w:firstLineChars="200"/>
        <w:jc w:val="center"/>
        <w:rPr>
          <w:rFonts w:hint="eastAsia" w:ascii="宋体" w:hAnsi="宋体" w:eastAsia="宋体" w:cs="宋体"/>
          <w:b w:val="0"/>
          <w:bCs/>
          <w:color w:val="auto"/>
          <w:kern w:val="0"/>
          <w:sz w:val="24"/>
          <w:szCs w:val="24"/>
          <w:highlight w:val="none"/>
        </w:rPr>
      </w:pPr>
    </w:p>
    <w:p>
      <w:pPr>
        <w:pStyle w:val="10"/>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0"/>
        <w:rPr>
          <w:rFonts w:hint="eastAsia" w:ascii="宋体" w:hAnsi="宋体" w:eastAsia="宋体" w:cs="宋体"/>
          <w:b w:val="0"/>
          <w:bCs/>
          <w:color w:val="auto"/>
          <w:kern w:val="0"/>
          <w:sz w:val="24"/>
          <w:szCs w:val="24"/>
          <w:highlight w:val="none"/>
        </w:rPr>
      </w:pPr>
    </w:p>
    <w:p>
      <w:pPr>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项目名称：</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项目编号：</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所投采购包：</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宋体" w:hAnsi="宋体" w:eastAsia="宋体" w:cs="宋体"/>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供应商：</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日  期：</w:t>
      </w:r>
      <w:r>
        <w:rPr>
          <w:rFonts w:hint="eastAsia" w:ascii="宋体" w:hAnsi="宋体" w:eastAsia="宋体" w:cs="宋体"/>
          <w:b w:val="0"/>
          <w:bCs/>
          <w:color w:val="auto"/>
          <w:kern w:val="0"/>
          <w:sz w:val="24"/>
          <w:szCs w:val="24"/>
          <w:highlight w:val="none"/>
          <w:u w:val="single"/>
        </w:rPr>
        <w:t xml:space="preserve">                 </w:t>
      </w:r>
    </w:p>
    <w:p>
      <w:pPr>
        <w:widowControl/>
        <w:spacing w:after="0" w:line="24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6"/>
          <w:szCs w:val="36"/>
          <w:highlight w:val="none"/>
        </w:rPr>
        <w:br w:type="page"/>
      </w:r>
      <w:bookmarkEnd w:id="48"/>
      <w:bookmarkEnd w:id="49"/>
      <w:bookmarkEnd w:id="50"/>
      <w:bookmarkEnd w:id="51"/>
      <w:bookmarkEnd w:id="52"/>
      <w:bookmarkEnd w:id="53"/>
      <w:bookmarkEnd w:id="54"/>
      <w:bookmarkEnd w:id="55"/>
      <w:bookmarkEnd w:id="56"/>
      <w:bookmarkEnd w:id="57"/>
      <w:r>
        <w:rPr>
          <w:rFonts w:hint="eastAsia" w:ascii="宋体" w:hAnsi="宋体" w:eastAsia="宋体" w:cs="宋体"/>
          <w:b/>
          <w:bCs/>
          <w:color w:val="auto"/>
          <w:sz w:val="28"/>
          <w:szCs w:val="28"/>
          <w:highlight w:val="none"/>
        </w:rPr>
        <w:t>格式9 技术条款偏离表</w:t>
      </w:r>
    </w:p>
    <w:tbl>
      <w:tblPr>
        <w:tblStyle w:val="16"/>
        <w:tblW w:w="916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28"/>
        <w:gridCol w:w="1516"/>
        <w:gridCol w:w="2116"/>
        <w:gridCol w:w="1684"/>
        <w:gridCol w:w="2090"/>
        <w:gridCol w:w="8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vAlign w:val="center"/>
          </w:tcPr>
          <w:p>
            <w:pPr>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16" w:type="dxa"/>
            <w:vAlign w:val="top"/>
          </w:tcPr>
          <w:p>
            <w:pPr>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采购文件</w:t>
            </w:r>
          </w:p>
          <w:p>
            <w:pPr>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技术部分序号</w:t>
            </w:r>
          </w:p>
        </w:tc>
        <w:tc>
          <w:tcPr>
            <w:tcW w:w="2116" w:type="dxa"/>
            <w:vAlign w:val="center"/>
          </w:tcPr>
          <w:p>
            <w:pPr>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采购文件</w:t>
            </w:r>
          </w:p>
          <w:p>
            <w:pPr>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技术部分内容要求</w:t>
            </w:r>
          </w:p>
        </w:tc>
        <w:tc>
          <w:tcPr>
            <w:tcW w:w="1684" w:type="dxa"/>
            <w:vAlign w:val="center"/>
          </w:tcPr>
          <w:p>
            <w:pPr>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响应文件</w:t>
            </w:r>
          </w:p>
          <w:p>
            <w:pPr>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应答情况</w:t>
            </w:r>
          </w:p>
        </w:tc>
        <w:tc>
          <w:tcPr>
            <w:tcW w:w="2090" w:type="dxa"/>
            <w:vAlign w:val="center"/>
          </w:tcPr>
          <w:p>
            <w:pPr>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偏离（无/正/负）</w:t>
            </w:r>
          </w:p>
        </w:tc>
        <w:tc>
          <w:tcPr>
            <w:tcW w:w="832" w:type="dxa"/>
            <w:vAlign w:val="center"/>
          </w:tcPr>
          <w:p>
            <w:pPr>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16" w:type="dxa"/>
            <w:vAlign w:val="center"/>
          </w:tcPr>
          <w:p>
            <w:pPr>
              <w:adjustRightInd w:val="0"/>
              <w:snapToGrid w:val="0"/>
              <w:spacing w:after="0" w:line="240" w:lineRule="auto"/>
              <w:ind w:left="50" w:leftChars="24" w:right="55" w:rightChars="26"/>
              <w:jc w:val="center"/>
              <w:rPr>
                <w:rFonts w:hint="eastAsia" w:ascii="宋体" w:hAnsi="宋体" w:eastAsia="宋体" w:cs="宋体"/>
                <w:color w:val="auto"/>
                <w:sz w:val="21"/>
                <w:szCs w:val="21"/>
                <w:highlight w:val="none"/>
              </w:rPr>
            </w:pPr>
          </w:p>
        </w:tc>
        <w:tc>
          <w:tcPr>
            <w:tcW w:w="2116" w:type="dxa"/>
            <w:vAlign w:val="center"/>
          </w:tcPr>
          <w:p>
            <w:pPr>
              <w:adjustRightInd w:val="0"/>
              <w:snapToGrid w:val="0"/>
              <w:spacing w:after="0" w:line="240" w:lineRule="auto"/>
              <w:ind w:left="50" w:leftChars="24" w:right="55" w:rightChars="26"/>
              <w:jc w:val="center"/>
              <w:rPr>
                <w:rFonts w:hint="eastAsia" w:ascii="宋体" w:hAnsi="宋体" w:eastAsia="宋体" w:cs="宋体"/>
                <w:color w:val="auto"/>
                <w:sz w:val="21"/>
                <w:szCs w:val="21"/>
                <w:highlight w:val="none"/>
              </w:rPr>
            </w:pPr>
          </w:p>
        </w:tc>
        <w:tc>
          <w:tcPr>
            <w:tcW w:w="1684"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p>
        </w:tc>
        <w:tc>
          <w:tcPr>
            <w:tcW w:w="2090"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p>
        </w:tc>
        <w:tc>
          <w:tcPr>
            <w:tcW w:w="832"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16" w:type="dxa"/>
            <w:vAlign w:val="center"/>
          </w:tcPr>
          <w:p>
            <w:pPr>
              <w:adjustRightInd w:val="0"/>
              <w:snapToGrid w:val="0"/>
              <w:spacing w:after="0" w:line="240" w:lineRule="auto"/>
              <w:ind w:left="50" w:leftChars="24" w:right="55" w:rightChars="26"/>
              <w:jc w:val="center"/>
              <w:rPr>
                <w:rFonts w:hint="eastAsia" w:ascii="宋体" w:hAnsi="宋体" w:eastAsia="宋体" w:cs="宋体"/>
                <w:color w:val="auto"/>
                <w:sz w:val="21"/>
                <w:szCs w:val="21"/>
                <w:highlight w:val="none"/>
              </w:rPr>
            </w:pPr>
          </w:p>
        </w:tc>
        <w:tc>
          <w:tcPr>
            <w:tcW w:w="2116" w:type="dxa"/>
            <w:vAlign w:val="center"/>
          </w:tcPr>
          <w:p>
            <w:pPr>
              <w:adjustRightInd w:val="0"/>
              <w:snapToGrid w:val="0"/>
              <w:spacing w:after="0" w:line="240" w:lineRule="auto"/>
              <w:ind w:left="50" w:leftChars="24" w:right="55" w:rightChars="26"/>
              <w:jc w:val="center"/>
              <w:rPr>
                <w:rFonts w:hint="eastAsia" w:ascii="宋体" w:hAnsi="宋体" w:eastAsia="宋体" w:cs="宋体"/>
                <w:color w:val="auto"/>
                <w:sz w:val="21"/>
                <w:szCs w:val="21"/>
                <w:highlight w:val="none"/>
              </w:rPr>
            </w:pPr>
          </w:p>
        </w:tc>
        <w:tc>
          <w:tcPr>
            <w:tcW w:w="1684"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p>
        </w:tc>
        <w:tc>
          <w:tcPr>
            <w:tcW w:w="2090"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p>
        </w:tc>
        <w:tc>
          <w:tcPr>
            <w:tcW w:w="832"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16" w:type="dxa"/>
            <w:vAlign w:val="center"/>
          </w:tcPr>
          <w:p>
            <w:pPr>
              <w:adjustRightInd w:val="0"/>
              <w:snapToGrid w:val="0"/>
              <w:spacing w:after="0" w:line="240" w:lineRule="auto"/>
              <w:ind w:left="50" w:leftChars="24" w:right="55" w:rightChars="26"/>
              <w:jc w:val="center"/>
              <w:rPr>
                <w:rFonts w:hint="eastAsia" w:ascii="宋体" w:hAnsi="宋体" w:eastAsia="宋体" w:cs="宋体"/>
                <w:color w:val="auto"/>
                <w:sz w:val="21"/>
                <w:szCs w:val="21"/>
                <w:highlight w:val="none"/>
              </w:rPr>
            </w:pPr>
          </w:p>
        </w:tc>
        <w:tc>
          <w:tcPr>
            <w:tcW w:w="2116" w:type="dxa"/>
            <w:vAlign w:val="center"/>
          </w:tcPr>
          <w:p>
            <w:pPr>
              <w:adjustRightInd w:val="0"/>
              <w:snapToGrid w:val="0"/>
              <w:spacing w:after="0" w:line="240" w:lineRule="auto"/>
              <w:ind w:left="50" w:leftChars="24" w:right="55" w:rightChars="26"/>
              <w:jc w:val="center"/>
              <w:rPr>
                <w:rFonts w:hint="eastAsia" w:ascii="宋体" w:hAnsi="宋体" w:eastAsia="宋体" w:cs="宋体"/>
                <w:color w:val="auto"/>
                <w:sz w:val="21"/>
                <w:szCs w:val="21"/>
                <w:highlight w:val="none"/>
              </w:rPr>
            </w:pPr>
          </w:p>
        </w:tc>
        <w:tc>
          <w:tcPr>
            <w:tcW w:w="1684"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p>
        </w:tc>
        <w:tc>
          <w:tcPr>
            <w:tcW w:w="2090"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p>
        </w:tc>
        <w:tc>
          <w:tcPr>
            <w:tcW w:w="832"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516" w:type="dxa"/>
            <w:vAlign w:val="center"/>
          </w:tcPr>
          <w:p>
            <w:pPr>
              <w:adjustRightInd w:val="0"/>
              <w:snapToGrid w:val="0"/>
              <w:spacing w:after="0" w:line="240" w:lineRule="auto"/>
              <w:ind w:left="50" w:leftChars="24" w:right="55" w:rightChars="26"/>
              <w:jc w:val="center"/>
              <w:rPr>
                <w:rFonts w:hint="eastAsia" w:ascii="宋体" w:hAnsi="宋体" w:eastAsia="宋体" w:cs="宋体"/>
                <w:color w:val="auto"/>
                <w:sz w:val="21"/>
                <w:szCs w:val="21"/>
                <w:highlight w:val="none"/>
              </w:rPr>
            </w:pPr>
          </w:p>
        </w:tc>
        <w:tc>
          <w:tcPr>
            <w:tcW w:w="2116" w:type="dxa"/>
            <w:vAlign w:val="center"/>
          </w:tcPr>
          <w:p>
            <w:pPr>
              <w:adjustRightInd w:val="0"/>
              <w:snapToGrid w:val="0"/>
              <w:spacing w:after="0" w:line="240" w:lineRule="auto"/>
              <w:ind w:left="50" w:leftChars="24" w:right="55" w:rightChars="26"/>
              <w:jc w:val="center"/>
              <w:rPr>
                <w:rFonts w:hint="eastAsia" w:ascii="宋体" w:hAnsi="宋体" w:eastAsia="宋体" w:cs="宋体"/>
                <w:color w:val="auto"/>
                <w:sz w:val="21"/>
                <w:szCs w:val="21"/>
                <w:highlight w:val="none"/>
              </w:rPr>
            </w:pPr>
          </w:p>
        </w:tc>
        <w:tc>
          <w:tcPr>
            <w:tcW w:w="1684"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p>
        </w:tc>
        <w:tc>
          <w:tcPr>
            <w:tcW w:w="2090"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p>
        </w:tc>
        <w:tc>
          <w:tcPr>
            <w:tcW w:w="832"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16"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p>
        </w:tc>
        <w:tc>
          <w:tcPr>
            <w:tcW w:w="2116"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p>
        </w:tc>
        <w:tc>
          <w:tcPr>
            <w:tcW w:w="1684"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p>
        </w:tc>
        <w:tc>
          <w:tcPr>
            <w:tcW w:w="2090"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p>
        </w:tc>
        <w:tc>
          <w:tcPr>
            <w:tcW w:w="832"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16"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p>
        </w:tc>
        <w:tc>
          <w:tcPr>
            <w:tcW w:w="2116"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p>
        </w:tc>
        <w:tc>
          <w:tcPr>
            <w:tcW w:w="1684"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p>
        </w:tc>
        <w:tc>
          <w:tcPr>
            <w:tcW w:w="2090"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p>
        </w:tc>
        <w:tc>
          <w:tcPr>
            <w:tcW w:w="832"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p>
        </w:tc>
      </w:tr>
    </w:tbl>
    <w:p>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特别说明：</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1.按照《采购文件-技术部分》内容要求，一一对应填写。如果对《采购文件-技术部分》内容不做一一响应，而将“响应文件应答情况”简单笼统描述为“无偏离”，则视为无效应答。</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2.《采购文件-技术部分》内容须条对条应答，不得遗漏；如有遗漏，则视为无效应答。如无偏离，请在此表中填写“无偏离”。如有偏离，请在此表中应答为“正/负偏离”并说明偏离情况；</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3.如《采购文件-技术部分》中有标注★号的，则为实质性要求，必须满足，如应答为“负偏离”，将导致响应无效。</w:t>
      </w:r>
    </w:p>
    <w:p>
      <w:pPr>
        <w:adjustRightInd w:val="0"/>
        <w:snapToGrid w:val="0"/>
        <w:spacing w:line="360" w:lineRule="auto"/>
        <w:ind w:firstLine="480" w:firstLineChars="200"/>
        <w:rPr>
          <w:rFonts w:hint="eastAsia" w:ascii="宋体" w:hAnsi="宋体" w:eastAsia="宋体" w:cs="宋体"/>
          <w:color w:val="auto"/>
          <w:sz w:val="24"/>
          <w:highlight w:val="none"/>
        </w:rPr>
      </w:pPr>
    </w:p>
    <w:p>
      <w:pPr>
        <w:pStyle w:val="25"/>
        <w:spacing w:after="156"/>
        <w:ind w:firstLine="400"/>
        <w:rPr>
          <w:rFonts w:hint="eastAsia" w:ascii="宋体" w:hAnsi="宋体" w:eastAsia="宋体" w:cs="宋体"/>
          <w:color w:val="auto"/>
          <w:sz w:val="21"/>
          <w:szCs w:val="21"/>
          <w:highlight w:val="none"/>
        </w:rPr>
      </w:pP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（全称并加盖公章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授权代表（签字或盖章）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pPr>
        <w:jc w:val="center"/>
        <w:rPr>
          <w:rFonts w:hint="eastAsia" w:ascii="宋体" w:hAnsi="宋体" w:eastAsia="宋体" w:cs="宋体"/>
          <w:color w:val="auto"/>
          <w:sz w:val="24"/>
          <w:highlight w:val="none"/>
        </w:rPr>
        <w:sectPr>
          <w:pgSz w:w="11906" w:h="16838"/>
          <w:pgMar w:top="1440" w:right="1752" w:bottom="1440" w:left="1752" w:header="851" w:footer="992" w:gutter="0"/>
          <w:pgNumType w:fmt="decimal"/>
          <w:cols w:space="720" w:num="1"/>
          <w:titlePg/>
          <w:docGrid w:type="lines" w:linePitch="312" w:charSpace="0"/>
        </w:sectPr>
      </w:pPr>
    </w:p>
    <w:p>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格式10</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服务方案、实施方案及技术方案</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0"/>
        <w:jc w:val="center"/>
        <w:textAlignment w:val="auto"/>
        <w:rPr>
          <w:rFonts w:hint="eastAsia" w:ascii="宋体" w:hAnsi="宋体" w:eastAsia="宋体" w:cs="宋体"/>
          <w:b/>
          <w:bCs/>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0"/>
        <w:jc w:val="center"/>
        <w:textAlignment w:val="auto"/>
        <w:rPr>
          <w:rFonts w:hint="eastAsia" w:ascii="宋体" w:hAnsi="宋体" w:eastAsia="宋体" w:cs="宋体"/>
          <w:color w:val="auto"/>
          <w:szCs w:val="21"/>
          <w:highlight w:val="none"/>
        </w:rPr>
      </w:pPr>
      <w:r>
        <w:rPr>
          <w:rFonts w:hint="eastAsia" w:ascii="宋体" w:hAnsi="宋体" w:eastAsia="宋体" w:cs="宋体"/>
          <w:b/>
          <w:bCs/>
          <w:color w:val="auto"/>
          <w:sz w:val="28"/>
          <w:szCs w:val="28"/>
          <w:highlight w:val="none"/>
        </w:rPr>
        <w:t>服务方案说明</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服务类项目供应商应根据第六章规定编写服务方案说明。服务方案说明包括但不限于：</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(1)服务目标、范围和任务；</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(2)服务方案；</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(3)服务团队组织安排计划；</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(4)工作流程；</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(5)进度计划及保证措施；</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(6)质量保证措施；</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(7)合理化建议；</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(8)其他。</w:t>
      </w:r>
    </w:p>
    <w:p>
      <w:pPr>
        <w:spacing w:after="0" w:line="240" w:lineRule="auto"/>
        <w:ind w:firstLine="420" w:firstLineChars="200"/>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实施方案</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(示例略)</w:t>
      </w:r>
    </w:p>
    <w:p>
      <w:pPr>
        <w:spacing w:after="0" w:line="240" w:lineRule="auto"/>
        <w:ind w:firstLine="420" w:firstLineChars="200"/>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技术方案</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(示例略)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8"/>
          <w:szCs w:val="28"/>
          <w:highlight w:val="none"/>
        </w:rPr>
      </w:pPr>
      <w:bookmarkStart w:id="67" w:name="_GoBack"/>
      <w:bookmarkEnd w:id="67"/>
      <w:r>
        <w:rPr>
          <w:rFonts w:hint="eastAsia" w:ascii="宋体" w:hAnsi="宋体" w:eastAsia="宋体" w:cs="宋体"/>
          <w:color w:val="auto"/>
          <w:kern w:val="0"/>
          <w:sz w:val="24"/>
          <w:highlight w:val="none"/>
        </w:rPr>
        <w:br w:type="page"/>
      </w:r>
      <w:r>
        <w:rPr>
          <w:rFonts w:hint="eastAsia" w:ascii="宋体" w:hAnsi="宋体" w:eastAsia="宋体" w:cs="宋体"/>
          <w:b/>
          <w:bCs/>
          <w:color w:val="auto"/>
          <w:sz w:val="28"/>
          <w:szCs w:val="28"/>
          <w:highlight w:val="none"/>
        </w:rPr>
        <w:t>格式11 技术力量一览表</w:t>
      </w:r>
    </w:p>
    <w:tbl>
      <w:tblPr>
        <w:tblStyle w:val="16"/>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356"/>
        <w:gridCol w:w="1187"/>
        <w:gridCol w:w="1189"/>
        <w:gridCol w:w="1275"/>
        <w:gridCol w:w="1243"/>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94"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356"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 名</w:t>
            </w:r>
          </w:p>
        </w:tc>
        <w:tc>
          <w:tcPr>
            <w:tcW w:w="1187"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技术职称</w:t>
            </w: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人员级别</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工作年限</w:t>
            </w:r>
          </w:p>
        </w:tc>
        <w:tc>
          <w:tcPr>
            <w:tcW w:w="1243"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本项目中担任职务</w:t>
            </w:r>
          </w:p>
        </w:tc>
        <w:tc>
          <w:tcPr>
            <w:tcW w:w="1916"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认证情况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56"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56"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356"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356"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356"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356"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r>
    </w:tbl>
    <w:p>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特别说明：</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供应商须按照上述格式填写投入本项目所有人员的相关信息。</w:t>
      </w:r>
    </w:p>
    <w:p>
      <w:pPr>
        <w:topLinePunct/>
        <w:autoSpaceDE w:val="0"/>
        <w:autoSpaceDN w:val="0"/>
        <w:spacing w:line="460" w:lineRule="exact"/>
        <w:rPr>
          <w:rFonts w:hint="eastAsia" w:ascii="宋体" w:hAnsi="宋体" w:eastAsia="宋体" w:cs="宋体"/>
          <w:bCs/>
          <w:color w:val="auto"/>
          <w:w w:val="150"/>
          <w:sz w:val="24"/>
          <w:highlight w:val="none"/>
          <w:shd w:val="clear" w:color="auto" w:fill="FFFF00"/>
        </w:rPr>
      </w:pPr>
    </w:p>
    <w:p>
      <w:pPr>
        <w:topLinePunct/>
        <w:autoSpaceDE w:val="0"/>
        <w:autoSpaceDN w:val="0"/>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b/>
          <w:color w:val="auto"/>
          <w:sz w:val="30"/>
          <w:szCs w:val="30"/>
          <w:highlight w:val="none"/>
        </w:rPr>
        <w:br w:type="page"/>
      </w:r>
      <w:r>
        <w:rPr>
          <w:rFonts w:hint="eastAsia" w:ascii="宋体" w:hAnsi="宋体" w:eastAsia="宋体" w:cs="宋体"/>
          <w:b/>
          <w:bCs/>
          <w:color w:val="auto"/>
          <w:sz w:val="28"/>
          <w:szCs w:val="28"/>
          <w:highlight w:val="none"/>
        </w:rPr>
        <w:t>格式12 技术人员简历表</w:t>
      </w:r>
    </w:p>
    <w:tbl>
      <w:tblPr>
        <w:tblStyle w:val="1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713"/>
        <w:gridCol w:w="1505"/>
        <w:gridCol w:w="1388"/>
        <w:gridCol w:w="1796"/>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4"/>
                <w:highlight w:val="none"/>
              </w:rPr>
            </w:pPr>
            <w:r>
              <w:rPr>
                <w:rFonts w:hint="eastAsia" w:ascii="宋体" w:hAnsi="宋体" w:eastAsia="宋体" w:cs="宋体"/>
                <w:color w:val="auto"/>
                <w:highlight w:val="none"/>
              </w:rPr>
              <w:t>姓   名</w:t>
            </w:r>
          </w:p>
        </w:tc>
        <w:tc>
          <w:tcPr>
            <w:tcW w:w="1713"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4"/>
                <w:highlight w:val="none"/>
              </w:rPr>
            </w:pPr>
            <w:r>
              <w:rPr>
                <w:rFonts w:hint="eastAsia" w:ascii="宋体" w:hAnsi="宋体" w:eastAsia="宋体" w:cs="宋体"/>
                <w:color w:val="auto"/>
                <w:highlight w:val="none"/>
              </w:rPr>
              <w:t>性    别</w:t>
            </w:r>
          </w:p>
        </w:tc>
        <w:tc>
          <w:tcPr>
            <w:tcW w:w="1388"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4"/>
                <w:highlight w:val="none"/>
              </w:rPr>
            </w:pPr>
          </w:p>
        </w:tc>
        <w:tc>
          <w:tcPr>
            <w:tcW w:w="1796"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4"/>
                <w:highlight w:val="none"/>
              </w:rPr>
            </w:pPr>
            <w:r>
              <w:rPr>
                <w:rFonts w:hint="eastAsia" w:ascii="宋体" w:hAnsi="宋体" w:eastAsia="宋体" w:cs="宋体"/>
                <w:color w:val="auto"/>
                <w:highlight w:val="none"/>
              </w:rPr>
              <w:t>出生日期</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4"/>
                <w:highlight w:val="none"/>
              </w:rPr>
            </w:pPr>
            <w:r>
              <w:rPr>
                <w:rFonts w:hint="eastAsia" w:ascii="宋体" w:hAnsi="宋体" w:eastAsia="宋体" w:cs="宋体"/>
                <w:color w:val="auto"/>
                <w:highlight w:val="none"/>
              </w:rPr>
              <w:t>学   历</w:t>
            </w:r>
          </w:p>
        </w:tc>
        <w:tc>
          <w:tcPr>
            <w:tcW w:w="1713"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4"/>
                <w:highlight w:val="none"/>
              </w:rPr>
            </w:pPr>
            <w:r>
              <w:rPr>
                <w:rFonts w:hint="eastAsia" w:ascii="宋体" w:hAnsi="宋体" w:eastAsia="宋体" w:cs="宋体"/>
                <w:color w:val="auto"/>
                <w:highlight w:val="none"/>
              </w:rPr>
              <w:t>毕业学校</w:t>
            </w:r>
          </w:p>
        </w:tc>
        <w:tc>
          <w:tcPr>
            <w:tcW w:w="1388"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4"/>
                <w:highlight w:val="none"/>
              </w:rPr>
            </w:pPr>
          </w:p>
        </w:tc>
        <w:tc>
          <w:tcPr>
            <w:tcW w:w="1796"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4"/>
                <w:highlight w:val="none"/>
              </w:rPr>
            </w:pPr>
            <w:r>
              <w:rPr>
                <w:rFonts w:hint="eastAsia" w:ascii="宋体" w:hAnsi="宋体" w:eastAsia="宋体" w:cs="宋体"/>
                <w:color w:val="auto"/>
                <w:highlight w:val="none"/>
              </w:rPr>
              <w:t>技术职称</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4"/>
                <w:highlight w:val="none"/>
              </w:rPr>
            </w:pPr>
            <w:r>
              <w:rPr>
                <w:rFonts w:hint="eastAsia" w:ascii="宋体" w:hAnsi="宋体" w:eastAsia="宋体" w:cs="宋体"/>
                <w:color w:val="auto"/>
                <w:highlight w:val="none"/>
              </w:rPr>
              <w:t>公司职务</w:t>
            </w:r>
          </w:p>
        </w:tc>
        <w:tc>
          <w:tcPr>
            <w:tcW w:w="1713"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4"/>
                <w:highlight w:val="none"/>
              </w:rPr>
            </w:pPr>
            <w:r>
              <w:rPr>
                <w:rFonts w:hint="eastAsia" w:ascii="宋体" w:hAnsi="宋体" w:eastAsia="宋体" w:cs="宋体"/>
                <w:color w:val="auto"/>
                <w:highlight w:val="none"/>
              </w:rPr>
              <w:t>任职时间</w:t>
            </w:r>
          </w:p>
        </w:tc>
        <w:tc>
          <w:tcPr>
            <w:tcW w:w="1388"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4"/>
                <w:highlight w:val="none"/>
              </w:rPr>
            </w:pPr>
          </w:p>
        </w:tc>
        <w:tc>
          <w:tcPr>
            <w:tcW w:w="1796"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4"/>
                <w:highlight w:val="none"/>
              </w:rPr>
            </w:pPr>
            <w:r>
              <w:rPr>
                <w:rFonts w:hint="eastAsia" w:ascii="宋体" w:hAnsi="宋体" w:eastAsia="宋体" w:cs="宋体"/>
                <w:color w:val="auto"/>
                <w:highlight w:val="none"/>
              </w:rPr>
              <w:t>本项目任职</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3"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4"/>
                <w:highlight w:val="none"/>
              </w:rPr>
            </w:pPr>
            <w:r>
              <w:rPr>
                <w:rFonts w:hint="eastAsia" w:ascii="宋体" w:hAnsi="宋体" w:eastAsia="宋体" w:cs="宋体"/>
                <w:color w:val="auto"/>
                <w:highlight w:val="none"/>
              </w:rPr>
              <w:t>人员级别</w:t>
            </w:r>
          </w:p>
        </w:tc>
        <w:tc>
          <w:tcPr>
            <w:tcW w:w="1713"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从事XXX工作年限</w:t>
            </w:r>
          </w:p>
        </w:tc>
        <w:tc>
          <w:tcPr>
            <w:tcW w:w="1388"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4"/>
                <w:highlight w:val="none"/>
              </w:rPr>
            </w:pPr>
          </w:p>
        </w:tc>
        <w:tc>
          <w:tcPr>
            <w:tcW w:w="1796"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4"/>
                <w:highlight w:val="none"/>
              </w:rPr>
            </w:pPr>
            <w:r>
              <w:rPr>
                <w:rFonts w:hint="eastAsia" w:ascii="宋体" w:hAnsi="宋体" w:eastAsia="宋体" w:cs="宋体"/>
                <w:color w:val="auto"/>
                <w:szCs w:val="21"/>
                <w:highlight w:val="none"/>
              </w:rPr>
              <w:t>从事XXXX年限</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3"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认证证书</w:t>
            </w:r>
          </w:p>
        </w:tc>
        <w:tc>
          <w:tcPr>
            <w:tcW w:w="7665" w:type="dxa"/>
            <w:gridSpan w:val="5"/>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trPr>
        <w:tc>
          <w:tcPr>
            <w:tcW w:w="8928" w:type="dxa"/>
            <w:gridSpan w:val="6"/>
            <w:tcBorders>
              <w:top w:val="single" w:color="auto" w:sz="4" w:space="0"/>
              <w:left w:val="single" w:color="auto" w:sz="4" w:space="0"/>
              <w:bottom w:val="single" w:color="auto" w:sz="4" w:space="0"/>
              <w:right w:val="single" w:color="auto" w:sz="4" w:space="0"/>
            </w:tcBorders>
            <w:vAlign w:val="top"/>
          </w:tcPr>
          <w:p>
            <w:pPr>
              <w:spacing w:after="0" w:line="240" w:lineRule="auto"/>
              <w:rPr>
                <w:rFonts w:hint="eastAsia" w:ascii="宋体" w:hAnsi="宋体" w:eastAsia="宋体" w:cs="宋体"/>
                <w:color w:val="auto"/>
                <w:sz w:val="24"/>
                <w:highlight w:val="none"/>
              </w:rPr>
            </w:pPr>
            <w:r>
              <w:rPr>
                <w:rFonts w:hint="eastAsia" w:ascii="宋体" w:hAnsi="宋体" w:eastAsia="宋体" w:cs="宋体"/>
                <w:color w:val="auto"/>
                <w:highlight w:val="none"/>
              </w:rPr>
              <w:t>工作简历及主要业绩</w:t>
            </w:r>
          </w:p>
          <w:p>
            <w:pPr>
              <w:adjustRightInd w:val="0"/>
              <w:spacing w:after="0" w:line="240" w:lineRule="auto"/>
              <w:rPr>
                <w:rFonts w:hint="eastAsia" w:ascii="宋体" w:hAnsi="宋体" w:eastAsia="宋体" w:cs="宋体"/>
                <w:color w:val="auto"/>
                <w:sz w:val="24"/>
                <w:highlight w:val="none"/>
              </w:rPr>
            </w:pPr>
          </w:p>
        </w:tc>
      </w:tr>
    </w:tbl>
    <w:p>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特别说明：</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1.供应商应提供投入本项目所有人员的简历。</w:t>
      </w:r>
    </w:p>
    <w:p>
      <w:pPr>
        <w:topLinePunct/>
        <w:autoSpaceDE w:val="0"/>
        <w:autoSpaceDN w:val="0"/>
        <w:spacing w:after="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等人员应提供</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复印件。 </w:t>
      </w:r>
    </w:p>
    <w:p>
      <w:pPr>
        <w:widowControl/>
        <w:spacing w:after="0" w:line="240" w:lineRule="auto"/>
        <w:jc w:val="left"/>
        <w:rPr>
          <w:rFonts w:hint="eastAsia" w:ascii="宋体" w:hAnsi="宋体" w:eastAsia="宋体" w:cs="宋体"/>
          <w:color w:val="auto"/>
          <w:highlight w:val="none"/>
        </w:rPr>
      </w:pPr>
    </w:p>
    <w:p>
      <w:pPr>
        <w:widowControl/>
        <w:spacing w:after="0" w:line="24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28"/>
          <w:szCs w:val="28"/>
          <w:highlight w:val="none"/>
        </w:rPr>
        <w:t>格式13 供应商售后服务承诺</w:t>
      </w:r>
    </w:p>
    <w:p>
      <w:pPr>
        <w:spacing w:after="0" w:line="240" w:lineRule="auto"/>
        <w:ind w:firstLine="420" w:firstLineChars="200"/>
        <w:rPr>
          <w:rFonts w:hint="eastAsia" w:ascii="宋体" w:hAnsi="宋体" w:eastAsia="宋体" w:cs="宋体"/>
          <w:color w:val="auto"/>
          <w:szCs w:val="21"/>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topLinePunct/>
        <w:autoSpaceDE w:val="0"/>
        <w:autoSpaceDN w:val="0"/>
        <w:jc w:val="center"/>
        <w:rPr>
          <w:rFonts w:hint="eastAsia" w:ascii="宋体" w:hAnsi="宋体" w:eastAsia="宋体" w:cs="宋体"/>
          <w:b w:val="0"/>
          <w:bCs/>
          <w:color w:val="auto"/>
          <w:sz w:val="32"/>
          <w:szCs w:val="32"/>
          <w:highlight w:val="none"/>
        </w:rPr>
      </w:pPr>
    </w:p>
    <w:p>
      <w:pPr>
        <w:keepNext w:val="0"/>
        <w:keepLines w:val="0"/>
        <w:pageBreakBefore w:val="0"/>
        <w:widowControl w:val="0"/>
        <w:kinsoku/>
        <w:wordWrap/>
        <w:overflowPunct/>
        <w:topLinePunct/>
        <w:autoSpaceDE w:val="0"/>
        <w:autoSpaceDN w:val="0"/>
        <w:bidi w:val="0"/>
        <w:adjustRightInd/>
        <w:spacing w:line="360" w:lineRule="auto"/>
        <w:jc w:val="center"/>
        <w:textAlignment w:val="auto"/>
        <w:rPr>
          <w:rFonts w:hint="eastAsia" w:ascii="宋体" w:hAnsi="宋体" w:eastAsia="宋体" w:cs="宋体"/>
          <w:b w:val="0"/>
          <w:bCs/>
          <w:color w:val="auto"/>
          <w:sz w:val="32"/>
          <w:szCs w:val="32"/>
          <w:highlight w:val="none"/>
        </w:rPr>
      </w:pPr>
    </w:p>
    <w:p>
      <w:pPr>
        <w:pStyle w:val="10"/>
        <w:rPr>
          <w:rFonts w:hint="eastAsia" w:ascii="宋体" w:hAnsi="宋体" w:eastAsia="宋体" w:cs="宋体"/>
          <w:color w:val="auto"/>
          <w:highlight w:val="none"/>
        </w:rPr>
      </w:pPr>
    </w:p>
    <w:p>
      <w:pPr>
        <w:keepNext w:val="0"/>
        <w:keepLines w:val="0"/>
        <w:pageBreakBefore w:val="0"/>
        <w:widowControl w:val="0"/>
        <w:kinsoku/>
        <w:wordWrap/>
        <w:overflowPunct/>
        <w:topLinePunct/>
        <w:autoSpaceDE w:val="0"/>
        <w:autoSpaceDN w:val="0"/>
        <w:bidi w:val="0"/>
        <w:adjustRightInd/>
        <w:spacing w:line="360" w:lineRule="auto"/>
        <w:jc w:val="center"/>
        <w:textAlignment w:val="auto"/>
        <w:rPr>
          <w:rFonts w:hint="eastAsia" w:ascii="宋体" w:hAnsi="宋体" w:eastAsia="宋体" w:cs="宋体"/>
          <w:b w:val="0"/>
          <w:bCs/>
          <w:color w:val="auto"/>
          <w:sz w:val="32"/>
          <w:szCs w:val="32"/>
          <w:highlight w:val="none"/>
        </w:rPr>
      </w:pPr>
    </w:p>
    <w:p>
      <w:pPr>
        <w:topLinePunct/>
        <w:autoSpaceDE w:val="0"/>
        <w:autoSpaceDN w:val="0"/>
        <w:jc w:val="center"/>
        <w:rPr>
          <w:rFonts w:hint="eastAsia" w:ascii="宋体" w:hAnsi="宋体" w:eastAsia="宋体" w:cs="宋体"/>
          <w:b/>
          <w:bCs w:val="0"/>
          <w:color w:val="auto"/>
          <w:sz w:val="44"/>
          <w:szCs w:val="44"/>
          <w:highlight w:val="none"/>
        </w:rPr>
      </w:pPr>
      <w:r>
        <w:rPr>
          <w:rFonts w:hint="eastAsia" w:ascii="宋体" w:hAnsi="宋体" w:eastAsia="宋体" w:cs="宋体"/>
          <w:b/>
          <w:bCs w:val="0"/>
          <w:color w:val="auto"/>
          <w:sz w:val="44"/>
          <w:szCs w:val="44"/>
          <w:highlight w:val="none"/>
        </w:rPr>
        <w:t>磋商文件</w:t>
      </w:r>
    </w:p>
    <w:p>
      <w:pPr>
        <w:topLinePunct/>
        <w:autoSpaceDE w:val="0"/>
        <w:autoSpaceDN w:val="0"/>
        <w:spacing w:line="60" w:lineRule="exact"/>
        <w:jc w:val="center"/>
        <w:rPr>
          <w:rFonts w:hint="eastAsia" w:ascii="宋体" w:hAnsi="宋体" w:eastAsia="宋体" w:cs="宋体"/>
          <w:b/>
          <w:bCs w:val="0"/>
          <w:color w:val="auto"/>
          <w:sz w:val="44"/>
          <w:szCs w:val="44"/>
          <w:highlight w:val="none"/>
        </w:rPr>
      </w:pPr>
    </w:p>
    <w:p>
      <w:pPr>
        <w:topLinePunct/>
        <w:autoSpaceDE w:val="0"/>
        <w:autoSpaceDN w:val="0"/>
        <w:snapToGrid w:val="0"/>
        <w:jc w:val="center"/>
        <w:rPr>
          <w:rFonts w:hint="eastAsia" w:ascii="宋体" w:hAnsi="宋体" w:eastAsia="宋体" w:cs="宋体"/>
          <w:b/>
          <w:bCs w:val="0"/>
          <w:color w:val="auto"/>
          <w:sz w:val="44"/>
          <w:szCs w:val="44"/>
          <w:highlight w:val="none"/>
        </w:rPr>
      </w:pPr>
      <w:r>
        <w:rPr>
          <w:rFonts w:hint="eastAsia" w:ascii="宋体" w:hAnsi="宋体" w:eastAsia="宋体" w:cs="宋体"/>
          <w:b/>
          <w:bCs w:val="0"/>
          <w:color w:val="auto"/>
          <w:sz w:val="44"/>
          <w:szCs w:val="44"/>
          <w:highlight w:val="none"/>
        </w:rPr>
        <w:t>（</w:t>
      </w:r>
      <w:r>
        <w:rPr>
          <w:rFonts w:hint="eastAsia" w:ascii="宋体" w:hAnsi="宋体" w:eastAsia="宋体" w:cs="宋体"/>
          <w:b/>
          <w:bCs w:val="0"/>
          <w:color w:val="auto"/>
          <w:sz w:val="44"/>
          <w:szCs w:val="44"/>
          <w:highlight w:val="none"/>
          <w:lang w:eastAsia="zh-CN"/>
        </w:rPr>
        <w:t>技术</w:t>
      </w:r>
      <w:r>
        <w:rPr>
          <w:rFonts w:hint="eastAsia" w:ascii="宋体" w:hAnsi="宋体" w:eastAsia="宋体" w:cs="宋体"/>
          <w:b/>
          <w:bCs w:val="0"/>
          <w:color w:val="auto"/>
          <w:sz w:val="44"/>
          <w:szCs w:val="44"/>
          <w:highlight w:val="none"/>
        </w:rPr>
        <w:t>部分）</w:t>
      </w:r>
    </w:p>
    <w:p>
      <w:pPr>
        <w:bidi w:val="0"/>
        <w:rPr>
          <w:rFonts w:hint="eastAsia" w:ascii="宋体" w:hAnsi="宋体" w:eastAsia="宋体" w:cs="宋体"/>
          <w:b/>
          <w:bCs w:val="0"/>
          <w:color w:val="auto"/>
          <w:sz w:val="44"/>
          <w:szCs w:val="44"/>
          <w:highlight w:val="none"/>
        </w:rPr>
      </w:pPr>
    </w:p>
    <w:p>
      <w:pPr>
        <w:pStyle w:val="11"/>
        <w:jc w:val="center"/>
        <w:rPr>
          <w:rFonts w:hint="eastAsia" w:ascii="宋体" w:hAnsi="宋体" w:eastAsia="宋体" w:cs="宋体"/>
          <w:b/>
          <w:bCs w:val="0"/>
          <w:color w:val="auto"/>
          <w:kern w:val="0"/>
          <w:sz w:val="30"/>
          <w:szCs w:val="72"/>
          <w:highlight w:val="none"/>
          <w:lang w:val="en-US" w:eastAsia="zh-CN" w:bidi="ar-SA"/>
        </w:rPr>
      </w:pPr>
      <w:r>
        <w:rPr>
          <w:rFonts w:hint="eastAsia" w:ascii="宋体" w:hAnsi="宋体" w:eastAsia="宋体" w:cs="宋体"/>
          <w:b/>
          <w:bCs w:val="0"/>
          <w:color w:val="auto"/>
          <w:kern w:val="0"/>
          <w:sz w:val="30"/>
          <w:szCs w:val="72"/>
          <w:highlight w:val="none"/>
          <w:lang w:val="en-US" w:eastAsia="zh-CN" w:bidi="ar-SA"/>
        </w:rPr>
        <w:t>（本项目为目录外标准下项目）</w:t>
      </w:r>
    </w:p>
    <w:p>
      <w:pPr>
        <w:bidi w:val="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ind w:firstLine="480" w:firstLineChars="20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项目名称：国家税务总局南宁市税务局</w:t>
      </w:r>
    </w:p>
    <w:p>
      <w:pPr>
        <w:ind w:firstLine="1680" w:firstLineChars="70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专业媒体综合服务项目</w:t>
      </w:r>
    </w:p>
    <w:p>
      <w:pPr>
        <w:ind w:firstLine="480" w:firstLineChars="20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项目编号：</w:t>
      </w:r>
      <w:r>
        <w:rPr>
          <w:rFonts w:hint="eastAsia" w:ascii="宋体" w:hAnsi="宋体" w:eastAsia="宋体" w:cs="宋体"/>
          <w:color w:val="auto"/>
          <w:sz w:val="24"/>
          <w:szCs w:val="24"/>
          <w:highlight w:val="none"/>
          <w:u w:val="none"/>
          <w:lang w:val="en-US" w:eastAsia="zh-CN"/>
        </w:rPr>
        <w:t>FS（ZB3）20240</w:t>
      </w:r>
      <w:r>
        <w:rPr>
          <w:rFonts w:hint="eastAsia" w:ascii="宋体" w:hAnsi="宋体" w:cs="宋体"/>
          <w:color w:val="auto"/>
          <w:sz w:val="24"/>
          <w:szCs w:val="24"/>
          <w:highlight w:val="none"/>
          <w:u w:val="none"/>
          <w:lang w:val="en-US" w:eastAsia="zh-CN"/>
        </w:rPr>
        <w:t>31</w:t>
      </w:r>
      <w:r>
        <w:rPr>
          <w:rFonts w:hint="eastAsia" w:ascii="宋体" w:hAnsi="宋体" w:eastAsia="宋体" w:cs="宋体"/>
          <w:color w:val="auto"/>
          <w:sz w:val="24"/>
          <w:szCs w:val="24"/>
          <w:highlight w:val="none"/>
          <w:u w:val="none"/>
          <w:lang w:val="en-US" w:eastAsia="zh-CN"/>
        </w:rPr>
        <w:t>C</w:t>
      </w:r>
    </w:p>
    <w:p>
      <w:pPr>
        <w:ind w:firstLine="480" w:firstLineChars="20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采 购 人：国家税务总局南宁市税务局</w:t>
      </w:r>
    </w:p>
    <w:p>
      <w:pPr>
        <w:ind w:firstLine="480" w:firstLineChars="20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采购代理机构：广西建设工程机电设备招标中心有限公司</w:t>
      </w:r>
    </w:p>
    <w:p>
      <w:pPr>
        <w:topLinePunct/>
        <w:autoSpaceDE w:val="0"/>
        <w:autoSpaceDN w:val="0"/>
        <w:spacing w:line="460" w:lineRule="exact"/>
        <w:rPr>
          <w:rFonts w:hint="eastAsia" w:ascii="宋体" w:hAnsi="宋体" w:eastAsia="宋体" w:cs="宋体"/>
          <w:b/>
          <w:color w:val="auto"/>
          <w:sz w:val="24"/>
          <w:szCs w:val="24"/>
          <w:highlight w:val="none"/>
          <w:u w:val="none"/>
        </w:rPr>
      </w:pPr>
    </w:p>
    <w:p>
      <w:pPr>
        <w:topLinePunct/>
        <w:autoSpaceDE w:val="0"/>
        <w:autoSpaceDN w:val="0"/>
        <w:spacing w:line="460" w:lineRule="exact"/>
        <w:jc w:val="center"/>
        <w:rPr>
          <w:rFonts w:hint="eastAsia" w:ascii="宋体" w:hAnsi="宋体" w:eastAsia="宋体" w:cs="宋体"/>
          <w:color w:val="auto"/>
          <w:sz w:val="24"/>
          <w:szCs w:val="24"/>
          <w:highlight w:val="none"/>
        </w:rPr>
      </w:pPr>
    </w:p>
    <w:p>
      <w:pPr>
        <w:keepNext w:val="0"/>
        <w:keepLines w:val="0"/>
        <w:pageBreakBefore w:val="0"/>
        <w:widowControl w:val="0"/>
        <w:kinsoku/>
        <w:wordWrap/>
        <w:overflowPunct/>
        <w:bidi w:val="0"/>
        <w:adjustRightInd/>
        <w:snapToGrid/>
        <w:spacing w:line="500" w:lineRule="exact"/>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国家税务总局南宁市税务局</w:t>
      </w:r>
    </w:p>
    <w:p>
      <w:pPr>
        <w:keepNext w:val="0"/>
        <w:keepLines w:val="0"/>
        <w:pageBreakBefore w:val="0"/>
        <w:widowControl w:val="0"/>
        <w:kinsoku/>
        <w:wordWrap/>
        <w:overflowPunct/>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keepNext w:val="0"/>
        <w:keepLines w:val="0"/>
        <w:pageBreakBefore w:val="0"/>
        <w:widowControl w:val="0"/>
        <w:kinsoku/>
        <w:wordWrap/>
        <w:overflowPunct/>
        <w:bidi w:val="0"/>
        <w:adjustRightInd/>
        <w:snapToGrid/>
        <w:spacing w:line="500" w:lineRule="exact"/>
        <w:jc w:val="center"/>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bidi w:val="0"/>
        <w:adjustRightInd/>
        <w:snapToGrid/>
        <w:spacing w:line="500" w:lineRule="exact"/>
        <w:jc w:val="center"/>
        <w:textAlignment w:val="auto"/>
        <w:rPr>
          <w:rFonts w:hint="eastAsia" w:ascii="宋体" w:hAnsi="宋体" w:eastAsia="宋体" w:cs="宋体"/>
          <w:color w:val="auto"/>
          <w:sz w:val="24"/>
          <w:szCs w:val="24"/>
          <w:highlight w:val="none"/>
        </w:rPr>
      </w:pPr>
    </w:p>
    <w:p>
      <w:pPr>
        <w:topLinePunct/>
        <w:autoSpaceDE w:val="0"/>
        <w:autoSpaceDN w:val="0"/>
        <w:spacing w:line="460" w:lineRule="exact"/>
        <w:jc w:val="center"/>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0"/>
        <w:rPr>
          <w:rFonts w:hint="eastAsia" w:ascii="宋体" w:hAnsi="宋体" w:eastAsia="宋体" w:cs="宋体"/>
          <w:b/>
          <w:bCs/>
          <w:color w:val="auto"/>
          <w:sz w:val="28"/>
          <w:szCs w:val="28"/>
          <w:highlight w:val="none"/>
        </w:rPr>
      </w:pPr>
      <w:r>
        <w:rPr>
          <w:rFonts w:hint="eastAsia" w:ascii="宋体" w:hAnsi="宋体" w:eastAsia="宋体" w:cs="宋体"/>
          <w:color w:val="auto"/>
          <w:sz w:val="36"/>
          <w:szCs w:val="36"/>
          <w:highlight w:val="none"/>
        </w:rPr>
        <w:br w:type="page"/>
      </w:r>
      <w:bookmarkStart w:id="58" w:name="_Toc18935"/>
      <w:bookmarkStart w:id="59" w:name="_Toc132880669"/>
      <w:r>
        <w:rPr>
          <w:rFonts w:hint="eastAsia" w:ascii="宋体" w:hAnsi="宋体" w:eastAsia="宋体" w:cs="宋体"/>
          <w:b/>
          <w:bCs/>
          <w:color w:val="auto"/>
          <w:sz w:val="28"/>
          <w:szCs w:val="28"/>
          <w:highlight w:val="none"/>
        </w:rPr>
        <w:t>第六章  项目采购需求</w:t>
      </w:r>
      <w:bookmarkEnd w:id="58"/>
      <w:bookmarkEnd w:id="59"/>
    </w:p>
    <w:p>
      <w:pPr>
        <w:snapToGrid w:val="0"/>
        <w:spacing w:line="400" w:lineRule="exact"/>
        <w:ind w:firstLine="422" w:firstLineChars="200"/>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eastAsia="宋体" w:cs="宋体"/>
          <w:b/>
          <w:bCs/>
          <w:color w:val="auto"/>
          <w:highlight w:val="none"/>
        </w:rPr>
      </w:pPr>
      <w:bookmarkStart w:id="60" w:name="_Toc132880670"/>
      <w:bookmarkStart w:id="61" w:name="_Toc30472"/>
      <w:r>
        <w:rPr>
          <w:rFonts w:hint="eastAsia" w:ascii="宋体" w:hAnsi="宋体" w:eastAsia="宋体" w:cs="宋体"/>
          <w:b/>
          <w:bCs/>
          <w:color w:val="auto"/>
          <w:highlight w:val="none"/>
          <w:lang w:val="en-US" w:eastAsia="zh-CN"/>
        </w:rPr>
        <w:t>一</w:t>
      </w:r>
      <w:r>
        <w:rPr>
          <w:rFonts w:hint="eastAsia" w:ascii="宋体" w:hAnsi="宋体" w:eastAsia="宋体" w:cs="宋体"/>
          <w:b/>
          <w:bCs/>
          <w:color w:val="auto"/>
          <w:highlight w:val="none"/>
        </w:rPr>
        <w:t>、项目概况</w:t>
      </w:r>
      <w:bookmarkEnd w:id="60"/>
      <w:bookmarkEnd w:id="61"/>
    </w:p>
    <w:tbl>
      <w:tblPr>
        <w:tblStyle w:val="17"/>
        <w:tblW w:w="93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0"/>
        <w:gridCol w:w="3741"/>
        <w:gridCol w:w="1671"/>
        <w:gridCol w:w="29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0" w:type="dxa"/>
            <w:vAlign w:val="center"/>
          </w:tcPr>
          <w:p>
            <w:pPr>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w:t>
            </w:r>
          </w:p>
        </w:tc>
        <w:tc>
          <w:tcPr>
            <w:tcW w:w="3741" w:type="dxa"/>
            <w:vAlign w:val="center"/>
          </w:tcPr>
          <w:p>
            <w:pPr>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w:t>
            </w:r>
          </w:p>
        </w:tc>
        <w:tc>
          <w:tcPr>
            <w:tcW w:w="1671" w:type="dxa"/>
            <w:vAlign w:val="center"/>
          </w:tcPr>
          <w:p>
            <w:pPr>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p>
        </w:tc>
        <w:tc>
          <w:tcPr>
            <w:tcW w:w="2952" w:type="dxa"/>
            <w:vAlign w:val="top"/>
          </w:tcPr>
          <w:p>
            <w:pPr>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采购标的对应的中小企业划分标准所属行业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0" w:type="dxa"/>
            <w:vAlign w:val="center"/>
          </w:tcPr>
          <w:p>
            <w:pPr>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741" w:type="dxa"/>
            <w:vAlign w:val="center"/>
          </w:tcPr>
          <w:p>
            <w:pPr>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国家税务总局南宁市税务局</w:t>
            </w:r>
          </w:p>
          <w:p>
            <w:pPr>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专业媒体综合服务项目</w:t>
            </w:r>
          </w:p>
        </w:tc>
        <w:tc>
          <w:tcPr>
            <w:tcW w:w="1671" w:type="dxa"/>
            <w:vAlign w:val="center"/>
          </w:tcPr>
          <w:p>
            <w:pPr>
              <w:spacing w:after="0"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500000.00元</w:t>
            </w:r>
          </w:p>
        </w:tc>
        <w:tc>
          <w:tcPr>
            <w:tcW w:w="2952" w:type="dxa"/>
            <w:vAlign w:val="center"/>
          </w:tcPr>
          <w:p>
            <w:pPr>
              <w:spacing w:after="0"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其他未列明行业</w:t>
            </w:r>
          </w:p>
        </w:tc>
      </w:tr>
    </w:tbl>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eastAsia="宋体" w:cs="宋体"/>
          <w:b/>
          <w:bCs/>
          <w:color w:val="auto"/>
          <w:highlight w:val="none"/>
        </w:rPr>
      </w:pPr>
      <w:bookmarkStart w:id="62" w:name="_Toc132880671"/>
      <w:bookmarkStart w:id="63" w:name="_Toc11976"/>
      <w:r>
        <w:rPr>
          <w:rFonts w:hint="eastAsia" w:ascii="宋体" w:hAnsi="宋体" w:eastAsia="宋体" w:cs="宋体"/>
          <w:b/>
          <w:bCs/>
          <w:color w:val="auto"/>
          <w:highlight w:val="none"/>
        </w:rPr>
        <w:t>二、技术要求</w:t>
      </w:r>
      <w:bookmarkEnd w:id="62"/>
      <w:bookmarkEnd w:id="63"/>
    </w:p>
    <w:tbl>
      <w:tblPr>
        <w:tblStyle w:val="16"/>
        <w:tblpPr w:leftFromText="180" w:rightFromText="180" w:vertAnchor="text" w:horzAnchor="page" w:tblpX="1386" w:tblpY="376"/>
        <w:tblOverlap w:val="never"/>
        <w:tblW w:w="9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559"/>
        <w:gridCol w:w="851"/>
        <w:gridCol w:w="6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341" w:type="dxa"/>
            <w:gridSpan w:val="4"/>
            <w:noWrap w:val="0"/>
            <w:vAlign w:val="center"/>
          </w:tcPr>
          <w:p>
            <w:pPr>
              <w:keepNext w:val="0"/>
              <w:keepLines w:val="0"/>
              <w:pageBreakBefore w:val="0"/>
              <w:widowControl/>
              <w:kinsoku/>
              <w:wordWrap/>
              <w:overflowPunct/>
              <w:topLinePunct w:val="0"/>
              <w:bidi w:val="0"/>
              <w:snapToGrid/>
              <w:spacing w:line="300" w:lineRule="exact"/>
              <w:jc w:val="left"/>
              <w:textAlignment w:val="auto"/>
              <w:outlineLvl w:val="9"/>
              <w:rPr>
                <w:rFonts w:hint="eastAsia" w:ascii="宋体" w:hAnsi="宋体" w:eastAsia="宋体" w:cs="宋体"/>
                <w:color w:val="auto"/>
                <w:szCs w:val="21"/>
                <w:highlight w:val="none"/>
              </w:rPr>
            </w:pPr>
            <w:bookmarkStart w:id="64" w:name="_Toc26206"/>
            <w:bookmarkStart w:id="65" w:name="_Toc132880672"/>
            <w:r>
              <w:rPr>
                <w:rFonts w:hint="eastAsia" w:ascii="宋体" w:hAnsi="宋体" w:eastAsia="宋体" w:cs="宋体"/>
                <w:b/>
                <w:color w:val="auto"/>
                <w:kern w:val="0"/>
                <w:szCs w:val="21"/>
                <w:highlight w:val="none"/>
              </w:rPr>
              <w:t>一、项目要求及技术需求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09" w:type="dxa"/>
            <w:noWrap w:val="0"/>
            <w:vAlign w:val="center"/>
          </w:tcPr>
          <w:p>
            <w:pPr>
              <w:pStyle w:val="38"/>
              <w:keepNext w:val="0"/>
              <w:keepLines w:val="0"/>
              <w:pageBreakBefore w:val="0"/>
              <w:kinsoku/>
              <w:wordWrap/>
              <w:overflowPunct/>
              <w:topLinePunct w:val="0"/>
              <w:bidi w:val="0"/>
              <w:snapToGrid/>
              <w:spacing w:line="300" w:lineRule="exact"/>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59" w:type="dxa"/>
            <w:noWrap w:val="0"/>
            <w:vAlign w:val="center"/>
          </w:tcPr>
          <w:p>
            <w:pPr>
              <w:keepNext w:val="0"/>
              <w:keepLines w:val="0"/>
              <w:pageBreakBefore w:val="0"/>
              <w:kinsoku/>
              <w:wordWrap/>
              <w:overflowPunct/>
              <w:topLinePunct w:val="0"/>
              <w:bidi w:val="0"/>
              <w:snapToGrid/>
              <w:spacing w:line="300" w:lineRule="exact"/>
              <w:jc w:val="center"/>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服务名称</w:t>
            </w:r>
          </w:p>
        </w:tc>
        <w:tc>
          <w:tcPr>
            <w:tcW w:w="851" w:type="dxa"/>
            <w:noWrap w:val="0"/>
            <w:vAlign w:val="center"/>
          </w:tcPr>
          <w:p>
            <w:pPr>
              <w:keepNext w:val="0"/>
              <w:keepLines w:val="0"/>
              <w:pageBreakBefore w:val="0"/>
              <w:kinsoku/>
              <w:wordWrap/>
              <w:overflowPunct/>
              <w:topLinePunct w:val="0"/>
              <w:bidi w:val="0"/>
              <w:snapToGrid/>
              <w:spacing w:line="300" w:lineRule="exact"/>
              <w:jc w:val="center"/>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6222" w:type="dxa"/>
            <w:noWrap w:val="0"/>
            <w:vAlign w:val="center"/>
          </w:tcPr>
          <w:p>
            <w:pPr>
              <w:keepNext w:val="0"/>
              <w:keepLines w:val="0"/>
              <w:pageBreakBefore w:val="0"/>
              <w:kinsoku/>
              <w:wordWrap/>
              <w:overflowPunct/>
              <w:topLinePunct w:val="0"/>
              <w:bidi w:val="0"/>
              <w:snapToGrid/>
              <w:spacing w:line="300" w:lineRule="exact"/>
              <w:jc w:val="center"/>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服务内容及技术要求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09" w:type="dxa"/>
            <w:noWrap w:val="0"/>
            <w:vAlign w:val="center"/>
          </w:tcPr>
          <w:p>
            <w:pPr>
              <w:pStyle w:val="38"/>
              <w:keepNext w:val="0"/>
              <w:keepLines w:val="0"/>
              <w:pageBreakBefore w:val="0"/>
              <w:kinsoku/>
              <w:wordWrap/>
              <w:overflowPunct/>
              <w:topLinePunct w:val="0"/>
              <w:bidi w:val="0"/>
              <w:snapToGrid/>
              <w:spacing w:line="3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p>
            <w:pPr>
              <w:pStyle w:val="38"/>
              <w:keepNext w:val="0"/>
              <w:keepLines w:val="0"/>
              <w:pageBreakBefore w:val="0"/>
              <w:kinsoku/>
              <w:wordWrap/>
              <w:overflowPunct/>
              <w:topLinePunct w:val="0"/>
              <w:bidi w:val="0"/>
              <w:snapToGrid/>
              <w:spacing w:line="300" w:lineRule="exact"/>
              <w:jc w:val="center"/>
              <w:textAlignment w:val="auto"/>
              <w:outlineLvl w:val="9"/>
              <w:rPr>
                <w:rFonts w:hint="eastAsia" w:ascii="宋体" w:hAnsi="宋体" w:eastAsia="宋体" w:cs="宋体"/>
                <w:color w:val="auto"/>
                <w:sz w:val="21"/>
                <w:szCs w:val="21"/>
                <w:highlight w:val="none"/>
              </w:rPr>
            </w:pPr>
          </w:p>
        </w:tc>
        <w:tc>
          <w:tcPr>
            <w:tcW w:w="1559" w:type="dxa"/>
            <w:noWrap w:val="0"/>
            <w:vAlign w:val="center"/>
          </w:tcPr>
          <w:p>
            <w:pPr>
              <w:pStyle w:val="38"/>
              <w:keepNext w:val="0"/>
              <w:keepLines w:val="0"/>
              <w:pageBreakBefore w:val="0"/>
              <w:kinsoku/>
              <w:wordWrap/>
              <w:overflowPunct/>
              <w:topLinePunct w:val="0"/>
              <w:bidi w:val="0"/>
              <w:snapToGrid/>
              <w:spacing w:line="3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国家税务总局南宁市税务局</w:t>
            </w:r>
          </w:p>
          <w:p>
            <w:pPr>
              <w:pStyle w:val="38"/>
              <w:keepNext w:val="0"/>
              <w:keepLines w:val="0"/>
              <w:pageBreakBefore w:val="0"/>
              <w:kinsoku/>
              <w:wordWrap/>
              <w:overflowPunct/>
              <w:topLinePunct w:val="0"/>
              <w:bidi w:val="0"/>
              <w:snapToGrid/>
              <w:spacing w:line="3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专业媒体综合服务项目</w:t>
            </w:r>
          </w:p>
        </w:tc>
        <w:tc>
          <w:tcPr>
            <w:tcW w:w="851" w:type="dxa"/>
            <w:noWrap w:val="0"/>
            <w:vAlign w:val="center"/>
          </w:tcPr>
          <w:p>
            <w:pPr>
              <w:keepNext w:val="0"/>
              <w:keepLines w:val="0"/>
              <w:pageBreakBefore w:val="0"/>
              <w:widowControl/>
              <w:kinsoku/>
              <w:wordWrap/>
              <w:overflowPunct/>
              <w:topLinePunct w:val="0"/>
              <w:bidi w:val="0"/>
              <w:snapToGrid/>
              <w:spacing w:line="3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1项</w:t>
            </w:r>
          </w:p>
          <w:p>
            <w:pPr>
              <w:pStyle w:val="38"/>
              <w:keepNext w:val="0"/>
              <w:keepLines w:val="0"/>
              <w:pageBreakBefore w:val="0"/>
              <w:kinsoku/>
              <w:wordWrap/>
              <w:overflowPunct/>
              <w:topLinePunct w:val="0"/>
              <w:bidi w:val="0"/>
              <w:snapToGrid/>
              <w:spacing w:line="300" w:lineRule="exact"/>
              <w:jc w:val="center"/>
              <w:textAlignment w:val="auto"/>
              <w:outlineLvl w:val="9"/>
              <w:rPr>
                <w:rFonts w:hint="eastAsia" w:ascii="宋体" w:hAnsi="宋体" w:eastAsia="宋体" w:cs="宋体"/>
                <w:color w:val="auto"/>
                <w:sz w:val="21"/>
                <w:szCs w:val="21"/>
                <w:highlight w:val="none"/>
              </w:rPr>
            </w:pPr>
          </w:p>
        </w:tc>
        <w:tc>
          <w:tcPr>
            <w:tcW w:w="6222" w:type="dxa"/>
            <w:noWrap w:val="0"/>
            <w:vAlign w:val="center"/>
          </w:tcPr>
          <w:p>
            <w:pPr>
              <w:spacing w:line="360" w:lineRule="auto"/>
              <w:ind w:firstLine="422" w:firstLineChars="200"/>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一、项目概况</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2024年是新中国成立75周年，是全面贯彻落实党的二十大精神的关键之年，是实施“十四五”规划的攻坚之年。当前，国家税务总局南宁市税务局</w:t>
            </w:r>
            <w:r>
              <w:rPr>
                <w:rFonts w:hint="eastAsia" w:ascii="宋体" w:hAnsi="宋体" w:eastAsia="宋体" w:cs="宋体"/>
                <w:color w:val="auto"/>
                <w:highlight w:val="none"/>
              </w:rPr>
              <w:t>正紧跟伟大复兴领航人踔厉笃行，在凝心聚力建设新时代中国特色社会主义壮美广西上不断取得新成效，奋力在新征程上开创税收工作高质量发展新局面。为更好地落实上级部门对税收宣传的相关要求，完成新时期税收宣传工作目标，展示新时代税收工作的新作为，本项目旨在利用中央主流媒体丰富的国内外传播渠道和资源、强大的传播实力和策划优势，通过在中央级主流媒体平台设置宣传阵地、策划线上和线下传播活动、发布重点</w:t>
            </w:r>
            <w:r>
              <w:rPr>
                <w:rFonts w:hint="eastAsia" w:ascii="宋体" w:hAnsi="宋体" w:eastAsia="宋体" w:cs="宋体"/>
                <w:color w:val="auto"/>
                <w:highlight w:val="none"/>
                <w:lang w:eastAsia="zh-CN"/>
              </w:rPr>
              <w:t>信息</w:t>
            </w:r>
            <w:r>
              <w:rPr>
                <w:rFonts w:hint="eastAsia" w:ascii="宋体" w:hAnsi="宋体" w:eastAsia="宋体" w:cs="宋体"/>
                <w:color w:val="auto"/>
                <w:highlight w:val="none"/>
              </w:rPr>
              <w:t>等方式，大力推广南宁税务税收工作优秀举措和成效，为南宁税务营造良好的社会舆论氛围。</w:t>
            </w:r>
          </w:p>
          <w:p>
            <w:pPr>
              <w:pStyle w:val="4"/>
              <w:spacing w:line="560" w:lineRule="exact"/>
              <w:ind w:left="0" w:leftChars="0" w:firstLine="0" w:firstLineChars="0"/>
              <w:rPr>
                <w:rFonts w:hint="eastAsia" w:ascii="宋体" w:hAnsi="宋体" w:eastAsia="宋体" w:cs="宋体"/>
                <w:b w:val="0"/>
                <w:bCs w:val="0"/>
                <w:color w:val="auto"/>
                <w:kern w:val="2"/>
                <w:sz w:val="21"/>
                <w:szCs w:val="22"/>
                <w:highlight w:val="none"/>
                <w:lang w:val="en-US" w:eastAsia="zh-CN" w:bidi="ar-SA"/>
              </w:rPr>
            </w:pPr>
            <w:r>
              <w:rPr>
                <w:rFonts w:hint="eastAsia" w:ascii="宋体" w:hAnsi="宋体" w:eastAsia="宋体" w:cs="宋体"/>
                <w:b w:val="0"/>
                <w:bCs w:val="0"/>
                <w:color w:val="auto"/>
                <w:kern w:val="2"/>
                <w:sz w:val="21"/>
                <w:szCs w:val="22"/>
                <w:highlight w:val="none"/>
                <w:lang w:val="zh-CN" w:eastAsia="zh-CN" w:bidi="ar-SA"/>
              </w:rPr>
              <w:t>二、项目需求</w:t>
            </w:r>
            <w:r>
              <w:rPr>
                <w:rFonts w:hint="eastAsia" w:ascii="宋体" w:hAnsi="宋体" w:eastAsia="宋体" w:cs="宋体"/>
                <w:b w:val="0"/>
                <w:bCs w:val="0"/>
                <w:color w:val="auto"/>
                <w:kern w:val="2"/>
                <w:sz w:val="21"/>
                <w:szCs w:val="22"/>
                <w:highlight w:val="none"/>
                <w:lang w:val="en-US" w:eastAsia="zh-CN" w:bidi="ar-SA"/>
              </w:rPr>
              <w:t xml:space="preserve"> </w:t>
            </w:r>
          </w:p>
          <w:p>
            <w:pPr>
              <w:pStyle w:val="5"/>
              <w:spacing w:line="560" w:lineRule="exact"/>
              <w:ind w:left="0" w:leftChars="0" w:firstLine="0" w:firstLineChars="0"/>
              <w:rPr>
                <w:rFonts w:hint="eastAsia" w:ascii="宋体" w:hAnsi="宋体" w:eastAsia="宋体" w:cs="宋体"/>
                <w:b w:val="0"/>
                <w:bCs w:val="0"/>
                <w:color w:val="auto"/>
                <w:kern w:val="2"/>
                <w:sz w:val="21"/>
                <w:szCs w:val="22"/>
                <w:highlight w:val="none"/>
                <w:lang w:val="en-US" w:eastAsia="zh-CN" w:bidi="ar-SA"/>
              </w:rPr>
            </w:pPr>
            <w:r>
              <w:rPr>
                <w:rFonts w:hint="eastAsia" w:ascii="宋体" w:hAnsi="宋体" w:eastAsia="宋体" w:cs="宋体"/>
                <w:b w:val="0"/>
                <w:bCs w:val="0"/>
                <w:color w:val="auto"/>
                <w:kern w:val="2"/>
                <w:sz w:val="21"/>
                <w:szCs w:val="22"/>
                <w:highlight w:val="none"/>
                <w:lang w:val="en-US" w:eastAsia="zh-CN" w:bidi="ar-SA"/>
              </w:rPr>
              <w:t>（一）专业编辑驻点服务</w:t>
            </w:r>
          </w:p>
          <w:p>
            <w:pPr>
              <w:spacing w:line="560" w:lineRule="exact"/>
              <w:ind w:firstLine="420" w:firstLineChars="200"/>
              <w:rPr>
                <w:rFonts w:hint="eastAsia" w:ascii="宋体" w:hAnsi="宋体" w:eastAsia="宋体" w:cs="宋体"/>
                <w:b w:val="0"/>
                <w:bCs w:val="0"/>
                <w:color w:val="auto"/>
                <w:kern w:val="2"/>
                <w:sz w:val="21"/>
                <w:szCs w:val="22"/>
                <w:highlight w:val="none"/>
                <w:lang w:val="en-US" w:eastAsia="zh-CN" w:bidi="ar-SA"/>
              </w:rPr>
            </w:pPr>
            <w:r>
              <w:rPr>
                <w:rFonts w:hint="eastAsia" w:ascii="宋体" w:hAnsi="宋体" w:eastAsia="宋体" w:cs="宋体"/>
                <w:b w:val="0"/>
                <w:bCs w:val="0"/>
                <w:color w:val="auto"/>
                <w:kern w:val="2"/>
                <w:sz w:val="21"/>
                <w:szCs w:val="22"/>
                <w:highlight w:val="none"/>
                <w:lang w:val="en-US" w:eastAsia="zh-CN" w:bidi="ar-SA"/>
              </w:rPr>
              <w:t>通过派驻专业编辑长期驻点服务的方式，为南宁市税务局全面开展日常宣传推广、政策宣教、平台运营维护等工作提供人才支持，可进一步强化与其他部门、行业单位的沟通协调，推进联动协调机制建设，促进全年工作开展。</w:t>
            </w:r>
          </w:p>
          <w:p>
            <w:pPr>
              <w:pStyle w:val="5"/>
              <w:spacing w:line="560" w:lineRule="exact"/>
              <w:ind w:left="0" w:leftChars="0" w:firstLine="0" w:firstLineChars="0"/>
              <w:rPr>
                <w:rFonts w:hint="eastAsia" w:ascii="宋体" w:hAnsi="宋体" w:eastAsia="宋体" w:cs="宋体"/>
                <w:b w:val="0"/>
                <w:bCs w:val="0"/>
                <w:color w:val="auto"/>
                <w:kern w:val="2"/>
                <w:sz w:val="21"/>
                <w:szCs w:val="22"/>
                <w:highlight w:val="none"/>
                <w:lang w:val="en-US" w:eastAsia="zh-CN" w:bidi="ar-SA"/>
              </w:rPr>
            </w:pPr>
            <w:r>
              <w:rPr>
                <w:rFonts w:hint="eastAsia" w:ascii="宋体" w:hAnsi="宋体" w:eastAsia="宋体" w:cs="宋体"/>
                <w:b w:val="0"/>
                <w:bCs w:val="0"/>
                <w:color w:val="auto"/>
                <w:kern w:val="2"/>
                <w:sz w:val="21"/>
                <w:szCs w:val="22"/>
                <w:highlight w:val="none"/>
                <w:lang w:val="en-US" w:eastAsia="zh-CN" w:bidi="ar-SA"/>
              </w:rPr>
              <w:t>（二）全媒体信息推广服务</w:t>
            </w:r>
          </w:p>
          <w:p>
            <w:pPr>
              <w:pStyle w:val="2"/>
              <w:keepNext w:val="0"/>
              <w:keepLines w:val="0"/>
              <w:pageBreakBefore w:val="0"/>
              <w:widowControl w:val="0"/>
              <w:kinsoku/>
              <w:wordWrap/>
              <w:overflowPunct/>
              <w:topLinePunct w:val="0"/>
              <w:autoSpaceDE/>
              <w:autoSpaceDN/>
              <w:bidi w:val="0"/>
              <w:adjustRightInd w:val="0"/>
              <w:snapToGrid w:val="0"/>
              <w:spacing w:before="0" w:after="0" w:line="560" w:lineRule="exact"/>
              <w:ind w:firstLine="420" w:firstLineChars="200"/>
              <w:jc w:val="left"/>
              <w:textAlignment w:val="auto"/>
              <w:rPr>
                <w:rFonts w:hint="eastAsia"/>
                <w:color w:val="auto"/>
                <w:highlight w:val="none"/>
              </w:rPr>
            </w:pPr>
            <w:r>
              <w:rPr>
                <w:rFonts w:hint="eastAsia" w:ascii="宋体" w:hAnsi="宋体" w:eastAsia="宋体" w:cs="宋体"/>
                <w:b w:val="0"/>
                <w:bCs w:val="0"/>
                <w:color w:val="auto"/>
                <w:kern w:val="2"/>
                <w:sz w:val="21"/>
                <w:szCs w:val="22"/>
                <w:highlight w:val="none"/>
                <w:lang w:val="en-US" w:eastAsia="zh-CN" w:bidi="ar-SA"/>
              </w:rPr>
              <w:t>依托中央级媒体强大的全媒体新闻信息采集能力和丰富的全媒体矩阵传播资源，根据南宁市税务局中心工作，深入一线开展实地调研， 挖掘南宁税务在各个领域的创新举措、优秀成果、先进事迹等，形成涵盖文字、图片、微视频、纪录片、H5等多种形式的融媒体产品，并通过中央级媒体矩阵高密度、立体化展示发布，讲好南宁税务故事、传播南宁税务声音，为推动南宁税务宣传工作高质量发展提供强有力的舆论支持。</w:t>
            </w:r>
          </w:p>
        </w:tc>
      </w:tr>
    </w:tbl>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三、商务要求</w:t>
      </w:r>
      <w:bookmarkEnd w:id="64"/>
      <w:bookmarkEnd w:id="65"/>
    </w:p>
    <w:tbl>
      <w:tblPr>
        <w:tblStyle w:val="16"/>
        <w:tblW w:w="9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7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26" w:type="dxa"/>
            <w:vAlign w:val="center"/>
          </w:tcPr>
          <w:p>
            <w:pPr>
              <w:keepNext w:val="0"/>
              <w:keepLines w:val="0"/>
              <w:pageBreakBefore w:val="0"/>
              <w:shd w:val="clear" w:color="auto" w:fill="auto"/>
              <w:kinsoku/>
              <w:wordWrap/>
              <w:overflowPunct/>
              <w:topLinePunct w:val="0"/>
              <w:bidi w:val="0"/>
              <w:snapToGrid w:val="0"/>
              <w:spacing w:before="60" w:after="60" w:line="360" w:lineRule="exact"/>
              <w:jc w:val="center"/>
              <w:textAlignment w:val="auto"/>
              <w:rPr>
                <w:rFonts w:hint="eastAsia" w:ascii="宋体" w:hAnsi="宋体" w:eastAsia="宋体" w:cs="宋体"/>
                <w:b w:val="0"/>
                <w:bCs w:val="0"/>
                <w:color w:val="auto"/>
                <w:kern w:val="2"/>
                <w:sz w:val="21"/>
                <w:szCs w:val="22"/>
                <w:highlight w:val="none"/>
                <w:lang w:val="en-US" w:eastAsia="zh-CN" w:bidi="ar-SA"/>
              </w:rPr>
            </w:pPr>
            <w:r>
              <w:rPr>
                <w:rFonts w:hint="eastAsia" w:ascii="宋体" w:hAnsi="宋体" w:eastAsia="宋体" w:cs="宋体"/>
                <w:b w:val="0"/>
                <w:bCs w:val="0"/>
                <w:color w:val="auto"/>
                <w:kern w:val="2"/>
                <w:sz w:val="21"/>
                <w:szCs w:val="22"/>
                <w:highlight w:val="none"/>
                <w:lang w:val="zh-CN" w:eastAsia="zh-CN" w:bidi="ar-SA"/>
              </w:rPr>
              <w:t>服务期限</w:t>
            </w:r>
          </w:p>
        </w:tc>
        <w:tc>
          <w:tcPr>
            <w:tcW w:w="7826" w:type="dxa"/>
            <w:vAlign w:val="center"/>
          </w:tcPr>
          <w:p>
            <w:pPr>
              <w:pStyle w:val="11"/>
              <w:adjustRightInd w:val="0"/>
              <w:snapToGrid w:val="0"/>
              <w:spacing w:line="560" w:lineRule="exact"/>
              <w:rPr>
                <w:rFonts w:hint="eastAsia" w:ascii="宋体" w:hAnsi="宋体" w:eastAsia="宋体" w:cs="宋体"/>
                <w:b w:val="0"/>
                <w:bCs w:val="0"/>
                <w:color w:val="auto"/>
                <w:kern w:val="2"/>
                <w:sz w:val="21"/>
                <w:szCs w:val="22"/>
                <w:highlight w:val="none"/>
                <w:lang w:val="en-US" w:eastAsia="zh-CN" w:bidi="ar-SA"/>
              </w:rPr>
            </w:pPr>
            <w:r>
              <w:rPr>
                <w:rFonts w:hint="eastAsia" w:ascii="宋体" w:hAnsi="宋体" w:eastAsia="宋体" w:cs="宋体"/>
                <w:b w:val="0"/>
                <w:bCs w:val="0"/>
                <w:color w:val="auto"/>
                <w:kern w:val="2"/>
                <w:sz w:val="21"/>
                <w:szCs w:val="22"/>
                <w:highlight w:val="none"/>
                <w:lang w:val="en-US" w:eastAsia="zh-CN" w:bidi="ar-SA"/>
              </w:rPr>
              <w:t>本项目服务期限为一年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26" w:type="dxa"/>
            <w:vAlign w:val="center"/>
          </w:tcPr>
          <w:p>
            <w:pPr>
              <w:keepNext w:val="0"/>
              <w:keepLines w:val="0"/>
              <w:pageBreakBefore w:val="0"/>
              <w:shd w:val="clear" w:color="auto" w:fill="auto"/>
              <w:kinsoku/>
              <w:wordWrap/>
              <w:overflowPunct/>
              <w:topLinePunct w:val="0"/>
              <w:bidi w:val="0"/>
              <w:snapToGrid w:val="0"/>
              <w:spacing w:before="60" w:after="60" w:line="360" w:lineRule="exact"/>
              <w:jc w:val="center"/>
              <w:textAlignment w:val="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lang w:val="zh-CN" w:eastAsia="zh-CN"/>
              </w:rPr>
              <w:t>投入人员具体要求</w:t>
            </w:r>
          </w:p>
        </w:tc>
        <w:tc>
          <w:tcPr>
            <w:tcW w:w="7826" w:type="dxa"/>
            <w:vAlign w:val="center"/>
          </w:tcPr>
          <w:p>
            <w:pPr>
              <w:pStyle w:val="11"/>
              <w:adjustRightInd w:val="0"/>
              <w:snapToGrid w:val="0"/>
              <w:spacing w:line="560" w:lineRule="exact"/>
              <w:rPr>
                <w:rFonts w:ascii="Times New Roman" w:hAnsi="Times New Roman" w:cs="Times New Roman"/>
                <w:color w:val="auto"/>
                <w:szCs w:val="32"/>
                <w:highlight w:val="none"/>
              </w:rPr>
            </w:pPr>
            <w:r>
              <w:rPr>
                <w:rFonts w:hint="eastAsia" w:ascii="Times New Roman" w:hAnsi="Times New Roman" w:cs="Times New Roman"/>
                <w:color w:val="auto"/>
                <w:szCs w:val="32"/>
                <w:highlight w:val="none"/>
              </w:rPr>
              <w:t>（一）应具备本项目所需专业能力和相关项目经验的项目人员，组建不少于5人的专业团队，</w:t>
            </w:r>
            <w:r>
              <w:rPr>
                <w:rFonts w:hint="eastAsia" w:ascii="Times New Roman" w:hAnsi="Times New Roman" w:cs="Times New Roman"/>
                <w:color w:val="auto"/>
                <w:szCs w:val="32"/>
                <w:highlight w:val="none"/>
                <w:lang w:val="en-US" w:eastAsia="zh-CN"/>
              </w:rPr>
              <w:t>项目人员包括但不限于项目负责人、网页设计人员、编辑人员、摄影人员等，且</w:t>
            </w:r>
            <w:r>
              <w:rPr>
                <w:rFonts w:hint="eastAsia" w:ascii="Times New Roman" w:hAnsi="Times New Roman" w:cs="Times New Roman"/>
                <w:color w:val="auto"/>
                <w:szCs w:val="32"/>
                <w:highlight w:val="none"/>
              </w:rPr>
              <w:t>项目负责人必须具有</w:t>
            </w:r>
            <w:r>
              <w:rPr>
                <w:rFonts w:hint="eastAsia" w:ascii="Times New Roman" w:hAnsi="Times New Roman" w:cs="Times New Roman"/>
                <w:color w:val="auto"/>
                <w:szCs w:val="32"/>
                <w:highlight w:val="none"/>
                <w:lang w:val="en-US" w:eastAsia="zh-CN"/>
              </w:rPr>
              <w:t>5</w:t>
            </w:r>
            <w:r>
              <w:rPr>
                <w:rFonts w:hint="eastAsia" w:ascii="Times New Roman" w:hAnsi="Times New Roman" w:cs="Times New Roman"/>
                <w:color w:val="auto"/>
                <w:szCs w:val="32"/>
                <w:highlight w:val="none"/>
              </w:rPr>
              <w:t>年以上</w:t>
            </w:r>
            <w:r>
              <w:rPr>
                <w:rFonts w:hint="eastAsia" w:ascii="Times New Roman" w:hAnsi="Times New Roman" w:cs="Times New Roman"/>
                <w:color w:val="auto"/>
                <w:szCs w:val="32"/>
                <w:highlight w:val="none"/>
                <w:lang w:val="en-US" w:eastAsia="zh-CN"/>
              </w:rPr>
              <w:t>相关行业的工作经验</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具有相关行业的中级职称，</w:t>
            </w:r>
            <w:r>
              <w:rPr>
                <w:rFonts w:hint="eastAsia" w:ascii="Times New Roman" w:hAnsi="Times New Roman" w:cs="Times New Roman"/>
                <w:color w:val="auto"/>
                <w:szCs w:val="32"/>
                <w:highlight w:val="none"/>
              </w:rPr>
              <w:t>项目组成员原则上应具有类似项目参与经验。参与响应的服务方案中须提供《用于本项目人员一览表》，内容包括但不限于：姓名、职务、资质、具体岗位职责等。</w:t>
            </w:r>
          </w:p>
          <w:p>
            <w:pPr>
              <w:pStyle w:val="11"/>
              <w:adjustRightInd w:val="0"/>
              <w:snapToGrid w:val="0"/>
              <w:spacing w:line="560" w:lineRule="exact"/>
              <w:rPr>
                <w:rFonts w:ascii="Times New Roman" w:hAnsi="Times New Roman" w:cs="Times New Roman"/>
                <w:color w:val="auto"/>
                <w:szCs w:val="32"/>
                <w:highlight w:val="none"/>
              </w:rPr>
            </w:pPr>
            <w:r>
              <w:rPr>
                <w:rFonts w:hint="eastAsia" w:ascii="Times New Roman" w:hAnsi="Times New Roman" w:cs="Times New Roman"/>
                <w:color w:val="auto"/>
                <w:szCs w:val="32"/>
                <w:highlight w:val="none"/>
              </w:rPr>
              <w:t>（二）</w:t>
            </w:r>
            <w:r>
              <w:rPr>
                <w:rFonts w:ascii="Times New Roman" w:hAnsi="Times New Roman" w:cs="Times New Roman"/>
                <w:color w:val="auto"/>
                <w:szCs w:val="32"/>
                <w:highlight w:val="none"/>
              </w:rPr>
              <w:t>应保证项目负责人和骨干工作人员的稳定，项目负责人需调整时应提前1个月通知采购人，新的人选需征得采购人的认可。</w:t>
            </w:r>
          </w:p>
          <w:p>
            <w:pPr>
              <w:pStyle w:val="11"/>
              <w:adjustRightInd w:val="0"/>
              <w:snapToGrid w:val="0"/>
              <w:spacing w:line="560" w:lineRule="exact"/>
              <w:rPr>
                <w:rFonts w:hint="eastAsia" w:ascii="宋体" w:hAnsi="宋体" w:eastAsia="宋体" w:cs="宋体"/>
                <w:color w:val="auto"/>
                <w:sz w:val="22"/>
                <w:highlight w:val="none"/>
                <w:lang w:val="en-US"/>
              </w:rPr>
            </w:pPr>
            <w:r>
              <w:rPr>
                <w:rFonts w:hint="eastAsia" w:ascii="Times New Roman" w:hAnsi="Times New Roman" w:cs="Times New Roman"/>
                <w:color w:val="auto"/>
                <w:szCs w:val="32"/>
                <w:highlight w:val="none"/>
              </w:rPr>
              <w:t>（三）</w:t>
            </w:r>
            <w:r>
              <w:rPr>
                <w:rFonts w:ascii="Times New Roman" w:hAnsi="Times New Roman" w:cs="Times New Roman"/>
                <w:color w:val="auto"/>
                <w:szCs w:val="32"/>
                <w:highlight w:val="none"/>
              </w:rPr>
              <w:t>须明确团队2名骨干人员及时沟通调查工作进展情况，对研究质量有重大影响的工作方案、工作内容和工作方法等须经采购人同意，并保证调查实施不偏离既定方向和计划，按时有序推进。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26" w:type="dxa"/>
            <w:vAlign w:val="center"/>
          </w:tcPr>
          <w:p>
            <w:pPr>
              <w:keepNext w:val="0"/>
              <w:keepLines w:val="0"/>
              <w:pageBreakBefore w:val="0"/>
              <w:shd w:val="clear" w:color="auto" w:fill="auto"/>
              <w:kinsoku/>
              <w:wordWrap/>
              <w:overflowPunct/>
              <w:topLinePunct w:val="0"/>
              <w:bidi w:val="0"/>
              <w:snapToGrid w:val="0"/>
              <w:spacing w:before="60" w:after="60" w:line="360" w:lineRule="exact"/>
              <w:jc w:val="center"/>
              <w:textAlignment w:val="auto"/>
              <w:rPr>
                <w:rFonts w:hint="eastAsia" w:ascii="宋体" w:hAnsi="宋体" w:eastAsia="宋体" w:cs="宋体"/>
                <w:color w:val="auto"/>
                <w:sz w:val="22"/>
                <w:highlight w:val="none"/>
                <w:lang w:val="zh-CN" w:eastAsia="zh-CN"/>
              </w:rPr>
            </w:pPr>
            <w:bookmarkStart w:id="66" w:name="_Toc4106"/>
            <w:r>
              <w:rPr>
                <w:rFonts w:hint="eastAsia" w:ascii="宋体" w:hAnsi="宋体" w:eastAsia="宋体" w:cs="宋体"/>
                <w:color w:val="auto"/>
                <w:sz w:val="22"/>
                <w:highlight w:val="none"/>
                <w:lang w:val="zh-CN" w:eastAsia="zh-CN"/>
              </w:rPr>
              <w:t>服务要求</w:t>
            </w:r>
          </w:p>
        </w:tc>
        <w:tc>
          <w:tcPr>
            <w:tcW w:w="7826" w:type="dxa"/>
            <w:vAlign w:val="center"/>
          </w:tcPr>
          <w:p>
            <w:pPr>
              <w:pStyle w:val="11"/>
              <w:adjustRightInd w:val="0"/>
              <w:snapToGrid w:val="0"/>
              <w:spacing w:line="560" w:lineRule="exact"/>
              <w:rPr>
                <w:rFonts w:ascii="Times New Roman" w:hAnsi="Times New Roman" w:eastAsia="宋体" w:cs="Times New Roman"/>
                <w:color w:val="auto"/>
                <w:szCs w:val="32"/>
                <w:highlight w:val="none"/>
              </w:rPr>
            </w:pPr>
            <w:r>
              <w:rPr>
                <w:rFonts w:hint="eastAsia" w:ascii="Times New Roman" w:hAnsi="Times New Roman" w:eastAsia="宋体" w:cs="Times New Roman"/>
                <w:color w:val="auto"/>
                <w:szCs w:val="32"/>
                <w:highlight w:val="none"/>
              </w:rPr>
              <w:t>（一）驻点服务</w:t>
            </w:r>
          </w:p>
          <w:p>
            <w:pPr>
              <w:pStyle w:val="11"/>
              <w:adjustRightInd w:val="0"/>
              <w:snapToGrid w:val="0"/>
              <w:spacing w:line="560" w:lineRule="exact"/>
              <w:rPr>
                <w:rFonts w:hint="eastAsia" w:ascii="Times New Roman" w:hAnsi="Times New Roman" w:eastAsia="宋体" w:cs="Times New Roman"/>
                <w:color w:val="auto"/>
                <w:szCs w:val="32"/>
                <w:highlight w:val="none"/>
              </w:rPr>
            </w:pPr>
            <w:r>
              <w:rPr>
                <w:rFonts w:hint="eastAsia" w:ascii="Times New Roman" w:hAnsi="Times New Roman" w:eastAsia="宋体" w:cs="Times New Roman"/>
                <w:color w:val="auto"/>
                <w:szCs w:val="32"/>
                <w:highlight w:val="none"/>
              </w:rPr>
              <w:t>人员配置达标，包括专业文案运营策划和美工设计在合同约定时间内配置到位，日常工作不存在缺岗、缺勤情况。</w:t>
            </w:r>
          </w:p>
          <w:p>
            <w:pPr>
              <w:pStyle w:val="11"/>
              <w:adjustRightInd w:val="0"/>
              <w:snapToGrid w:val="0"/>
              <w:spacing w:line="560" w:lineRule="exact"/>
              <w:rPr>
                <w:rFonts w:hint="eastAsia" w:ascii="Times New Roman" w:hAnsi="Times New Roman" w:eastAsia="宋体" w:cs="Times New Roman"/>
                <w:color w:val="auto"/>
                <w:szCs w:val="32"/>
                <w:highlight w:val="none"/>
              </w:rPr>
            </w:pPr>
            <w:r>
              <w:rPr>
                <w:rFonts w:hint="eastAsia" w:ascii="Times New Roman" w:hAnsi="Times New Roman" w:eastAsia="宋体" w:cs="Times New Roman"/>
                <w:color w:val="auto"/>
                <w:szCs w:val="32"/>
                <w:highlight w:val="none"/>
              </w:rPr>
              <w:t>供应商需派驻2名人员为南宁市税务局全面开展日常宣传推广、政策宣教、平台运营维护等工作提供人才支持，派驻人员需满足以下要求：</w:t>
            </w:r>
          </w:p>
          <w:p>
            <w:pPr>
              <w:pStyle w:val="11"/>
              <w:adjustRightInd w:val="0"/>
              <w:snapToGrid w:val="0"/>
              <w:spacing w:line="560" w:lineRule="exact"/>
              <w:rPr>
                <w:rFonts w:hint="eastAsia" w:ascii="Times New Roman" w:hAnsi="Times New Roman" w:eastAsia="宋体" w:cs="Times New Roman"/>
                <w:color w:val="auto"/>
                <w:szCs w:val="32"/>
                <w:highlight w:val="none"/>
                <w:lang w:val="en-US" w:eastAsia="zh-CN"/>
              </w:rPr>
            </w:pPr>
            <w:r>
              <w:rPr>
                <w:rFonts w:hint="eastAsia" w:ascii="Times New Roman" w:hAnsi="Times New Roman" w:eastAsia="宋体" w:cs="Times New Roman"/>
                <w:color w:val="auto"/>
                <w:szCs w:val="32"/>
                <w:highlight w:val="none"/>
                <w:lang w:val="en-US" w:eastAsia="zh-CN"/>
              </w:rPr>
              <w:t>1.负责协助办公室对南宁税务互联网站及南宁税务政务新媒体平台进行日常更新及维护等。</w:t>
            </w:r>
          </w:p>
          <w:p>
            <w:pPr>
              <w:pStyle w:val="11"/>
              <w:adjustRightInd w:val="0"/>
              <w:snapToGrid w:val="0"/>
              <w:spacing w:line="560" w:lineRule="exact"/>
              <w:rPr>
                <w:rFonts w:hint="eastAsia" w:ascii="Times New Roman" w:hAnsi="Times New Roman" w:eastAsia="宋体" w:cs="Times New Roman"/>
                <w:color w:val="auto"/>
                <w:szCs w:val="32"/>
                <w:highlight w:val="none"/>
              </w:rPr>
            </w:pPr>
            <w:r>
              <w:rPr>
                <w:rFonts w:hint="eastAsia" w:ascii="Times New Roman" w:hAnsi="Times New Roman" w:eastAsia="宋体" w:cs="Times New Roman"/>
                <w:color w:val="auto"/>
                <w:szCs w:val="32"/>
                <w:highlight w:val="none"/>
                <w:lang w:val="en-US" w:eastAsia="zh-CN"/>
              </w:rPr>
              <w:t>2.配合宣传部门完成涉税信息的策划、采集、</w:t>
            </w:r>
            <w:r>
              <w:rPr>
                <w:rFonts w:hint="eastAsia" w:ascii="Times New Roman" w:hAnsi="Times New Roman" w:eastAsia="宋体" w:cs="Times New Roman"/>
                <w:color w:val="auto"/>
                <w:szCs w:val="32"/>
                <w:highlight w:val="none"/>
              </w:rPr>
              <w:t>更新推</w:t>
            </w:r>
            <w:r>
              <w:rPr>
                <w:rFonts w:hint="eastAsia" w:ascii="Times New Roman" w:hAnsi="Times New Roman" w:eastAsia="宋体" w:cs="Times New Roman"/>
                <w:color w:val="auto"/>
                <w:szCs w:val="32"/>
                <w:highlight w:val="none"/>
                <w:lang w:eastAsia="zh-CN"/>
              </w:rPr>
              <w:t>，</w:t>
            </w:r>
            <w:r>
              <w:rPr>
                <w:rFonts w:hint="eastAsia" w:ascii="Times New Roman" w:hAnsi="Times New Roman" w:eastAsia="宋体" w:cs="Times New Roman"/>
                <w:color w:val="auto"/>
                <w:szCs w:val="32"/>
                <w:highlight w:val="none"/>
                <w:lang w:val="en-US" w:eastAsia="zh-CN"/>
              </w:rPr>
              <w:t>在合作期限内，围绕南宁税务重点工作提供不少于12期原创文稿</w:t>
            </w:r>
            <w:r>
              <w:rPr>
                <w:rFonts w:hint="eastAsia" w:ascii="Times New Roman" w:hAnsi="Times New Roman" w:eastAsia="宋体" w:cs="Times New Roman"/>
                <w:color w:val="auto"/>
                <w:szCs w:val="32"/>
                <w:highlight w:val="none"/>
              </w:rPr>
              <w:t>。</w:t>
            </w:r>
          </w:p>
          <w:p>
            <w:pPr>
              <w:pStyle w:val="11"/>
              <w:adjustRightInd w:val="0"/>
              <w:snapToGrid w:val="0"/>
              <w:spacing w:line="560" w:lineRule="exact"/>
              <w:rPr>
                <w:rFonts w:hint="eastAsia" w:ascii="Times New Roman" w:hAnsi="Times New Roman" w:eastAsia="宋体" w:cs="Times New Roman"/>
                <w:color w:val="auto"/>
                <w:szCs w:val="32"/>
                <w:highlight w:val="none"/>
                <w:lang w:eastAsia="zh-CN"/>
              </w:rPr>
            </w:pPr>
            <w:r>
              <w:rPr>
                <w:rFonts w:hint="eastAsia" w:ascii="Times New Roman" w:hAnsi="Times New Roman" w:eastAsia="宋体" w:cs="Times New Roman"/>
                <w:color w:val="auto"/>
                <w:szCs w:val="32"/>
                <w:highlight w:val="none"/>
                <w:lang w:val="en-US" w:eastAsia="zh-CN"/>
              </w:rPr>
              <w:t>3</w:t>
            </w:r>
            <w:r>
              <w:rPr>
                <w:rFonts w:hint="eastAsia" w:ascii="Times New Roman" w:hAnsi="Times New Roman" w:eastAsia="宋体" w:cs="Times New Roman"/>
                <w:color w:val="auto"/>
                <w:szCs w:val="32"/>
                <w:highlight w:val="none"/>
              </w:rPr>
              <w:t>.负责对南宁税务网站、微信公众号以及APP等宣传矩阵整体页面风格、logo标识、拟人化卡通形象等设计工作</w:t>
            </w:r>
            <w:r>
              <w:rPr>
                <w:rFonts w:hint="eastAsia" w:ascii="Times New Roman" w:hAnsi="Times New Roman" w:eastAsia="宋体" w:cs="Times New Roman"/>
                <w:color w:val="auto"/>
                <w:szCs w:val="32"/>
                <w:highlight w:val="none"/>
                <w:lang w:eastAsia="zh-CN"/>
              </w:rPr>
              <w:t>。</w:t>
            </w:r>
          </w:p>
          <w:p>
            <w:pPr>
              <w:pStyle w:val="11"/>
              <w:adjustRightInd w:val="0"/>
              <w:snapToGrid w:val="0"/>
              <w:spacing w:line="560" w:lineRule="exact"/>
              <w:rPr>
                <w:rFonts w:hint="default" w:ascii="Times New Roman" w:hAnsi="Times New Roman" w:eastAsia="宋体" w:cs="Times New Roman"/>
                <w:color w:val="auto"/>
                <w:szCs w:val="32"/>
                <w:highlight w:val="none"/>
                <w:lang w:val="en-US"/>
              </w:rPr>
            </w:pPr>
            <w:r>
              <w:rPr>
                <w:rFonts w:hint="eastAsia" w:ascii="Times New Roman" w:hAnsi="Times New Roman" w:eastAsia="宋体" w:cs="Times New Roman"/>
                <w:color w:val="auto"/>
                <w:szCs w:val="32"/>
                <w:highlight w:val="none"/>
                <w:lang w:val="en-US" w:eastAsia="zh-CN"/>
              </w:rPr>
              <w:t>4.能熟练使用专业摄影摄像器材，能拍摄制作视频；熟练操作PHOTOSHOP、DREAMWEAVER、EDIUS、COREDRAW、ADOBE PREMIER等电脑应用软件，并在合作期限内，为南宁税务提供不少于12期H5、绘制长图、漫画等。</w:t>
            </w:r>
          </w:p>
          <w:p>
            <w:pPr>
              <w:pStyle w:val="11"/>
              <w:adjustRightInd w:val="0"/>
              <w:snapToGrid w:val="0"/>
              <w:spacing w:line="560" w:lineRule="exact"/>
              <w:rPr>
                <w:rFonts w:ascii="Times New Roman" w:hAnsi="Times New Roman" w:eastAsia="宋体" w:cs="Times New Roman"/>
                <w:color w:val="auto"/>
                <w:szCs w:val="32"/>
                <w:highlight w:val="none"/>
              </w:rPr>
            </w:pPr>
            <w:r>
              <w:rPr>
                <w:rFonts w:hint="eastAsia" w:ascii="Times New Roman" w:hAnsi="Times New Roman" w:eastAsia="宋体" w:cs="Times New Roman"/>
                <w:color w:val="auto"/>
                <w:szCs w:val="32"/>
                <w:highlight w:val="none"/>
              </w:rPr>
              <w:t>（二）全媒体信息推广服务</w:t>
            </w:r>
          </w:p>
          <w:p>
            <w:pPr>
              <w:pStyle w:val="11"/>
              <w:adjustRightInd w:val="0"/>
              <w:snapToGrid w:val="0"/>
              <w:spacing w:line="560" w:lineRule="exact"/>
              <w:rPr>
                <w:rFonts w:hint="eastAsia" w:ascii="Times New Roman" w:hAnsi="Times New Roman" w:eastAsia="宋体" w:cs="Times New Roman"/>
                <w:color w:val="auto"/>
                <w:szCs w:val="32"/>
                <w:highlight w:val="none"/>
              </w:rPr>
            </w:pPr>
            <w:r>
              <w:rPr>
                <w:rFonts w:hint="eastAsia" w:ascii="Times New Roman" w:hAnsi="Times New Roman" w:eastAsia="宋体" w:cs="Times New Roman"/>
                <w:color w:val="auto"/>
                <w:szCs w:val="32"/>
                <w:highlight w:val="none"/>
                <w:lang w:val="zh-CN"/>
              </w:rPr>
              <w:t>在中央或自治区主流媒体平台开辟优秀新媒体作品展示专栏，对南宁市税务局优秀新媒体作品进行集中展播。</w:t>
            </w:r>
            <w:r>
              <w:rPr>
                <w:rFonts w:hint="eastAsia" w:ascii="Times New Roman" w:hAnsi="Times New Roman" w:eastAsia="宋体" w:cs="Times New Roman"/>
                <w:color w:val="auto"/>
                <w:szCs w:val="32"/>
                <w:highlight w:val="none"/>
              </w:rPr>
              <w:t>服务期内</w:t>
            </w:r>
            <w:r>
              <w:rPr>
                <w:rFonts w:hint="eastAsia" w:ascii="Times New Roman" w:hAnsi="Times New Roman" w:eastAsia="宋体" w:cs="Times New Roman"/>
                <w:color w:val="auto"/>
                <w:szCs w:val="32"/>
                <w:highlight w:val="none"/>
                <w:lang w:eastAsia="zh-CN"/>
              </w:rPr>
              <w:t>信息</w:t>
            </w:r>
            <w:r>
              <w:rPr>
                <w:rFonts w:hint="eastAsia" w:ascii="Times New Roman" w:hAnsi="Times New Roman" w:eastAsia="宋体" w:cs="Times New Roman"/>
                <w:color w:val="auto"/>
                <w:szCs w:val="32"/>
                <w:highlight w:val="none"/>
              </w:rPr>
              <w:t>推广数量以及视频制作数量、质量达到南宁税务的要求。</w:t>
            </w:r>
          </w:p>
          <w:p>
            <w:pPr>
              <w:pStyle w:val="11"/>
              <w:adjustRightInd w:val="0"/>
              <w:snapToGrid w:val="0"/>
              <w:spacing w:line="560" w:lineRule="exact"/>
              <w:rPr>
                <w:rFonts w:hint="eastAsia" w:ascii="Times New Roman" w:hAnsi="Times New Roman" w:eastAsia="宋体" w:cs="Times New Roman"/>
                <w:color w:val="auto"/>
                <w:szCs w:val="32"/>
                <w:highlight w:val="none"/>
              </w:rPr>
            </w:pPr>
            <w:r>
              <w:rPr>
                <w:rFonts w:hint="eastAsia" w:ascii="Times New Roman" w:hAnsi="Times New Roman" w:eastAsia="宋体" w:cs="Times New Roman"/>
                <w:color w:val="auto"/>
                <w:szCs w:val="32"/>
                <w:highlight w:val="none"/>
              </w:rPr>
              <w:t>（</w:t>
            </w:r>
            <w:r>
              <w:rPr>
                <w:rFonts w:hint="eastAsia" w:ascii="Times New Roman" w:hAnsi="Times New Roman" w:eastAsia="宋体" w:cs="Times New Roman"/>
                <w:color w:val="auto"/>
                <w:szCs w:val="32"/>
                <w:highlight w:val="none"/>
                <w:lang w:eastAsia="zh-CN"/>
              </w:rPr>
              <w:t>三</w:t>
            </w:r>
            <w:r>
              <w:rPr>
                <w:rFonts w:hint="eastAsia" w:ascii="Times New Roman" w:hAnsi="Times New Roman" w:eastAsia="宋体" w:cs="Times New Roman"/>
                <w:color w:val="auto"/>
                <w:szCs w:val="32"/>
                <w:highlight w:val="none"/>
              </w:rPr>
              <w:t>）新闻纪实类短视频创作</w:t>
            </w:r>
          </w:p>
          <w:p>
            <w:pPr>
              <w:pStyle w:val="11"/>
              <w:adjustRightInd w:val="0"/>
              <w:snapToGrid w:val="0"/>
              <w:spacing w:line="560" w:lineRule="exact"/>
              <w:rPr>
                <w:rFonts w:hint="eastAsia" w:ascii="Times New Roman" w:hAnsi="Times New Roman" w:eastAsia="宋体" w:cs="Times New Roman"/>
                <w:color w:val="auto"/>
                <w:szCs w:val="32"/>
                <w:highlight w:val="none"/>
              </w:rPr>
            </w:pPr>
            <w:r>
              <w:rPr>
                <w:rFonts w:hint="eastAsia" w:ascii="Times New Roman" w:hAnsi="Times New Roman" w:eastAsia="宋体" w:cs="Times New Roman"/>
                <w:color w:val="auto"/>
                <w:szCs w:val="32"/>
                <w:highlight w:val="none"/>
              </w:rPr>
              <w:t>根据南宁市税务局具体工作安排，拍摄制作不少于3部税收新闻纪实短片，并在中央级媒体平台展播。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26" w:type="dxa"/>
            <w:vAlign w:val="center"/>
          </w:tcPr>
          <w:p>
            <w:pPr>
              <w:keepNext w:val="0"/>
              <w:keepLines w:val="0"/>
              <w:pageBreakBefore w:val="0"/>
              <w:shd w:val="clear" w:color="auto" w:fill="auto"/>
              <w:kinsoku/>
              <w:wordWrap/>
              <w:overflowPunct/>
              <w:topLinePunct w:val="0"/>
              <w:bidi w:val="0"/>
              <w:snapToGrid w:val="0"/>
              <w:spacing w:before="60" w:after="60" w:line="360" w:lineRule="exact"/>
              <w:jc w:val="center"/>
              <w:textAlignment w:val="auto"/>
              <w:rPr>
                <w:rFonts w:hint="eastAsia" w:ascii="宋体" w:hAnsi="宋体" w:eastAsia="宋体" w:cs="宋体"/>
                <w:color w:val="auto"/>
                <w:sz w:val="22"/>
                <w:highlight w:val="none"/>
                <w:lang w:val="zh-CN" w:eastAsia="zh-CN"/>
              </w:rPr>
            </w:pPr>
            <w:r>
              <w:rPr>
                <w:rFonts w:hint="eastAsia" w:ascii="宋体" w:hAnsi="宋体" w:eastAsia="宋体" w:cs="宋体"/>
                <w:color w:val="auto"/>
                <w:sz w:val="22"/>
                <w:highlight w:val="none"/>
                <w:lang w:val="zh-CN" w:eastAsia="zh-CN"/>
              </w:rPr>
              <w:t>服务方式</w:t>
            </w:r>
          </w:p>
        </w:tc>
        <w:tc>
          <w:tcPr>
            <w:tcW w:w="7826" w:type="dxa"/>
            <w:vAlign w:val="center"/>
          </w:tcPr>
          <w:p>
            <w:pPr>
              <w:pStyle w:val="11"/>
              <w:adjustRightInd w:val="0"/>
              <w:snapToGrid w:val="0"/>
              <w:spacing w:line="560" w:lineRule="exact"/>
              <w:rPr>
                <w:rFonts w:hint="eastAsia" w:ascii="Times New Roman" w:hAnsi="Times New Roman" w:cs="Times New Roman"/>
                <w:color w:val="auto"/>
                <w:szCs w:val="32"/>
                <w:highlight w:val="none"/>
              </w:rPr>
            </w:pPr>
            <w:r>
              <w:rPr>
                <w:rFonts w:ascii="Times New Roman" w:hAnsi="Times New Roman" w:cs="Times New Roman"/>
                <w:color w:val="auto"/>
                <w:szCs w:val="32"/>
                <w:highlight w:val="none"/>
              </w:rPr>
              <w:t>主要通过现场驻点+远程服务的方式提供</w:t>
            </w:r>
            <w:r>
              <w:rPr>
                <w:rFonts w:hint="eastAsia" w:ascii="Times New Roman" w:hAnsi="Times New Roman" w:cs="Times New Roman"/>
                <w:color w:val="auto"/>
                <w:szCs w:val="32"/>
                <w:highlight w:val="none"/>
              </w:rPr>
              <w:t>相应的专业媒体综合服务。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26" w:type="dxa"/>
            <w:vAlign w:val="center"/>
          </w:tcPr>
          <w:p>
            <w:pPr>
              <w:keepNext w:val="0"/>
              <w:keepLines w:val="0"/>
              <w:pageBreakBefore w:val="0"/>
              <w:shd w:val="clear" w:color="auto" w:fill="auto"/>
              <w:kinsoku/>
              <w:wordWrap/>
              <w:overflowPunct/>
              <w:topLinePunct w:val="0"/>
              <w:bidi w:val="0"/>
              <w:snapToGrid w:val="0"/>
              <w:spacing w:before="60" w:after="60" w:line="360" w:lineRule="exact"/>
              <w:jc w:val="center"/>
              <w:textAlignment w:val="auto"/>
              <w:rPr>
                <w:rFonts w:hint="eastAsia" w:ascii="宋体" w:hAnsi="宋体" w:eastAsia="宋体" w:cs="宋体"/>
                <w:color w:val="auto"/>
                <w:sz w:val="22"/>
                <w:highlight w:val="none"/>
                <w:lang w:val="zh-CN" w:eastAsia="zh-CN"/>
              </w:rPr>
            </w:pPr>
            <w:r>
              <w:rPr>
                <w:rFonts w:hint="eastAsia" w:ascii="宋体" w:hAnsi="宋体" w:eastAsia="宋体" w:cs="宋体"/>
                <w:color w:val="auto"/>
                <w:sz w:val="22"/>
                <w:highlight w:val="none"/>
                <w:lang w:val="zh-CN" w:eastAsia="zh-CN"/>
              </w:rPr>
              <w:t>验收方式及标准</w:t>
            </w:r>
          </w:p>
        </w:tc>
        <w:tc>
          <w:tcPr>
            <w:tcW w:w="7826" w:type="dxa"/>
            <w:vAlign w:val="center"/>
          </w:tcPr>
          <w:p>
            <w:pPr>
              <w:pStyle w:val="11"/>
              <w:adjustRightInd w:val="0"/>
              <w:snapToGrid w:val="0"/>
              <w:spacing w:line="560" w:lineRule="exact"/>
              <w:rPr>
                <w:rFonts w:ascii="Times New Roman" w:hAnsi="Times New Roman" w:cs="Times New Roman"/>
                <w:color w:val="auto"/>
                <w:szCs w:val="32"/>
                <w:highlight w:val="none"/>
              </w:rPr>
            </w:pPr>
            <w:r>
              <w:rPr>
                <w:rFonts w:ascii="Times New Roman" w:hAnsi="Times New Roman" w:cs="Times New Roman"/>
                <w:color w:val="auto"/>
                <w:szCs w:val="32"/>
                <w:highlight w:val="none"/>
              </w:rPr>
              <w:t>服务期满，成交供应商准备</w:t>
            </w:r>
            <w:r>
              <w:rPr>
                <w:rFonts w:hint="eastAsia" w:ascii="Times New Roman" w:hAnsi="Times New Roman"/>
                <w:color w:val="auto"/>
                <w:szCs w:val="32"/>
                <w:highlight w:val="none"/>
              </w:rPr>
              <w:t>专业媒体综合服务项目</w:t>
            </w:r>
            <w:r>
              <w:rPr>
                <w:rFonts w:ascii="Times New Roman" w:hAnsi="Times New Roman" w:cs="Times New Roman"/>
                <w:color w:val="auto"/>
                <w:szCs w:val="32"/>
                <w:highlight w:val="none"/>
              </w:rPr>
              <w:t>的相关成果，并向采购人提出验收申请，采购人组织内部验收会议进行评审，出具验收评审意见。参会人员应包括业务科室、财务、成交供应商等项目相关方代表。验收评审意见为通过的，由采购人验收人员在验收评审意见书上签字，验收评审意见书由采购人存档（一式三份）。验收评审意见为不通过的，成交供应商应在60天内完成整改，重新组织内部验收会议。验收过程中采所产生的一切费用均由成交供应商承担，供应商报价时应考虑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26" w:type="dxa"/>
            <w:vAlign w:val="center"/>
          </w:tcPr>
          <w:p>
            <w:pPr>
              <w:keepNext w:val="0"/>
              <w:keepLines w:val="0"/>
              <w:pageBreakBefore w:val="0"/>
              <w:shd w:val="clear" w:color="auto" w:fill="auto"/>
              <w:kinsoku/>
              <w:wordWrap/>
              <w:overflowPunct/>
              <w:topLinePunct w:val="0"/>
              <w:bidi w:val="0"/>
              <w:snapToGrid w:val="0"/>
              <w:spacing w:before="60" w:after="60" w:line="360" w:lineRule="exact"/>
              <w:jc w:val="center"/>
              <w:textAlignment w:val="auto"/>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付款方式</w:t>
            </w:r>
          </w:p>
        </w:tc>
        <w:tc>
          <w:tcPr>
            <w:tcW w:w="7826" w:type="dxa"/>
            <w:vAlign w:val="center"/>
          </w:tcPr>
          <w:p>
            <w:pPr>
              <w:pStyle w:val="11"/>
              <w:adjustRightInd w:val="0"/>
              <w:snapToGrid w:val="0"/>
              <w:spacing w:line="560" w:lineRule="exact"/>
              <w:rPr>
                <w:rFonts w:hint="eastAsia" w:ascii="Times New Roman" w:hAnsi="Times New Roman" w:cs="Times New Roman"/>
                <w:color w:val="auto"/>
                <w:szCs w:val="32"/>
                <w:highlight w:val="none"/>
                <w:lang w:val="zh-CN" w:eastAsia="zh-CN"/>
              </w:rPr>
            </w:pPr>
            <w:r>
              <w:rPr>
                <w:rFonts w:hint="eastAsia" w:ascii="Times New Roman" w:hAnsi="Times New Roman" w:cs="Times New Roman"/>
                <w:color w:val="auto"/>
                <w:szCs w:val="32"/>
                <w:highlight w:val="none"/>
                <w:lang w:val="zh-CN" w:eastAsia="zh-CN"/>
              </w:rPr>
              <w:t>签订合同后1</w:t>
            </w:r>
            <w:r>
              <w:rPr>
                <w:rFonts w:hint="eastAsia" w:ascii="Times New Roman" w:hAnsi="Times New Roman" w:cs="Times New Roman"/>
                <w:color w:val="auto"/>
                <w:szCs w:val="32"/>
                <w:highlight w:val="none"/>
                <w:lang w:val="en-US" w:eastAsia="zh-CN"/>
              </w:rPr>
              <w:t>0个工作</w:t>
            </w:r>
            <w:r>
              <w:rPr>
                <w:rFonts w:hint="eastAsia" w:ascii="Times New Roman" w:hAnsi="Times New Roman" w:cs="Times New Roman"/>
                <w:color w:val="auto"/>
                <w:szCs w:val="32"/>
                <w:highlight w:val="none"/>
                <w:lang w:val="zh-CN" w:eastAsia="zh-CN"/>
              </w:rPr>
              <w:t>日内支付合同款项的20%；签订合同后第</w:t>
            </w:r>
            <w:r>
              <w:rPr>
                <w:rFonts w:hint="eastAsia" w:ascii="Times New Roman" w:hAnsi="Times New Roman" w:cs="Times New Roman"/>
                <w:color w:val="auto"/>
                <w:szCs w:val="32"/>
                <w:highlight w:val="none"/>
                <w:lang w:val="en-US" w:eastAsia="zh-CN"/>
              </w:rPr>
              <w:t>6月</w:t>
            </w:r>
            <w:r>
              <w:rPr>
                <w:rFonts w:hint="eastAsia" w:ascii="Times New Roman" w:hAnsi="Times New Roman" w:cs="Times New Roman"/>
                <w:color w:val="auto"/>
                <w:szCs w:val="32"/>
                <w:highlight w:val="none"/>
                <w:lang w:val="zh-CN" w:eastAsia="zh-CN"/>
              </w:rPr>
              <w:t>内支付合同款项的30%；签订合同后第9个月内支付合同款项的20%；项目验收合格后支付剩余合同款。</w:t>
            </w:r>
          </w:p>
          <w:p>
            <w:pPr>
              <w:pStyle w:val="11"/>
              <w:adjustRightInd w:val="0"/>
              <w:snapToGrid w:val="0"/>
              <w:spacing w:line="560" w:lineRule="exact"/>
              <w:ind w:firstLine="420" w:firstLineChars="200"/>
              <w:rPr>
                <w:color w:val="auto"/>
                <w:highlight w:val="none"/>
              </w:rPr>
            </w:pPr>
            <w:r>
              <w:rPr>
                <w:rFonts w:hint="eastAsia" w:ascii="Times New Roman" w:hAnsi="Times New Roman" w:cs="Times New Roman"/>
                <w:color w:val="auto"/>
                <w:szCs w:val="32"/>
                <w:highlight w:val="none"/>
                <w:lang w:val="zh-CN"/>
              </w:rPr>
              <w:t>付款前，</w:t>
            </w:r>
            <w:r>
              <w:rPr>
                <w:rFonts w:hint="eastAsia" w:ascii="Times New Roman" w:hAnsi="Times New Roman"/>
                <w:color w:val="auto"/>
                <w:highlight w:val="none"/>
                <w:lang w:val="zh-CN"/>
              </w:rPr>
              <w:t>成交</w:t>
            </w:r>
            <w:r>
              <w:rPr>
                <w:rFonts w:hint="eastAsia" w:ascii="Times New Roman" w:hAnsi="Times New Roman" w:cs="Times New Roman"/>
                <w:color w:val="auto"/>
                <w:szCs w:val="32"/>
                <w:highlight w:val="none"/>
                <w:lang w:val="zh-CN"/>
              </w:rPr>
              <w:t>供应商应向采购人开具等额有效的增值税发票，采购人收到发票后10个工作日内将相应款项支付到合同约定的</w:t>
            </w:r>
            <w:r>
              <w:rPr>
                <w:rFonts w:hint="eastAsia" w:ascii="Times New Roman" w:hAnsi="Times New Roman"/>
                <w:color w:val="auto"/>
                <w:highlight w:val="none"/>
                <w:lang w:val="zh-CN"/>
              </w:rPr>
              <w:t>成交</w:t>
            </w:r>
            <w:r>
              <w:rPr>
                <w:rFonts w:hint="eastAsia" w:ascii="Times New Roman" w:hAnsi="Times New Roman" w:cs="Times New Roman"/>
                <w:color w:val="auto"/>
                <w:szCs w:val="32"/>
                <w:highlight w:val="none"/>
                <w:lang w:val="zh-CN"/>
              </w:rPr>
              <w:t>供应商账户。采购人未收到发票的，有权不予支付相应款项直至</w:t>
            </w:r>
            <w:r>
              <w:rPr>
                <w:rFonts w:hint="eastAsia" w:ascii="Times New Roman" w:hAnsi="Times New Roman"/>
                <w:color w:val="auto"/>
                <w:highlight w:val="none"/>
                <w:lang w:val="zh-CN"/>
              </w:rPr>
              <w:t>成交</w:t>
            </w:r>
            <w:r>
              <w:rPr>
                <w:rFonts w:hint="eastAsia" w:ascii="Times New Roman" w:hAnsi="Times New Roman" w:cs="Times New Roman"/>
                <w:color w:val="auto"/>
                <w:szCs w:val="32"/>
                <w:highlight w:val="none"/>
                <w:lang w:val="zh-CN"/>
              </w:rPr>
              <w:t>供应商提供合格发票，并不承担延迟付款责任。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26" w:type="dxa"/>
            <w:vAlign w:val="center"/>
          </w:tcPr>
          <w:p>
            <w:pPr>
              <w:keepNext w:val="0"/>
              <w:keepLines w:val="0"/>
              <w:pageBreakBefore w:val="0"/>
              <w:shd w:val="clear" w:color="auto" w:fill="auto"/>
              <w:kinsoku/>
              <w:wordWrap/>
              <w:overflowPunct/>
              <w:topLinePunct w:val="0"/>
              <w:bidi w:val="0"/>
              <w:snapToGrid w:val="0"/>
              <w:spacing w:before="60" w:after="60" w:line="360" w:lineRule="exact"/>
              <w:jc w:val="center"/>
              <w:textAlignment w:val="auto"/>
              <w:rPr>
                <w:rFonts w:hint="eastAsia" w:ascii="宋体" w:hAnsi="宋体" w:cs="宋体"/>
                <w:color w:val="auto"/>
                <w:sz w:val="22"/>
                <w:highlight w:val="none"/>
                <w:lang w:val="en-US" w:eastAsia="zh-CN"/>
              </w:rPr>
            </w:pPr>
            <w:r>
              <w:rPr>
                <w:rFonts w:hint="eastAsia" w:ascii="宋体" w:hAnsi="宋体" w:cs="宋体"/>
                <w:color w:val="auto"/>
                <w:sz w:val="22"/>
                <w:highlight w:val="none"/>
                <w:lang w:val="en-US" w:eastAsia="zh-CN"/>
              </w:rPr>
              <w:t>其他要求</w:t>
            </w:r>
          </w:p>
        </w:tc>
        <w:tc>
          <w:tcPr>
            <w:tcW w:w="7826" w:type="dxa"/>
            <w:vAlign w:val="center"/>
          </w:tcPr>
          <w:p>
            <w:pPr>
              <w:spacing w:line="560" w:lineRule="exact"/>
              <w:rPr>
                <w:rFonts w:ascii="Times New Roman" w:hAnsi="Times New Roman"/>
                <w:color w:val="auto"/>
                <w:highlight w:val="none"/>
                <w:lang w:val="zh-CN"/>
              </w:rPr>
            </w:pPr>
            <w:r>
              <w:rPr>
                <w:rFonts w:hint="eastAsia" w:ascii="Times New Roman" w:hAnsi="Times New Roman"/>
                <w:color w:val="auto"/>
                <w:highlight w:val="none"/>
                <w:lang w:val="zh-CN"/>
              </w:rPr>
              <w:t>（一）成交</w:t>
            </w:r>
            <w:r>
              <w:rPr>
                <w:rFonts w:ascii="Times New Roman" w:hAnsi="Times New Roman"/>
                <w:color w:val="auto"/>
                <w:highlight w:val="none"/>
                <w:lang w:val="zh-CN"/>
              </w:rPr>
              <w:t>供应商应保证针对本项目的服务所涉及到的知识产权和所提供的相关技术资料是合法取得，</w:t>
            </w:r>
            <w:r>
              <w:rPr>
                <w:rFonts w:hint="eastAsia" w:ascii="Times New Roman" w:hAnsi="Times New Roman"/>
                <w:color w:val="auto"/>
                <w:highlight w:val="none"/>
                <w:lang w:val="zh-CN"/>
              </w:rPr>
              <w:t>双方共同</w:t>
            </w:r>
            <w:r>
              <w:rPr>
                <w:rFonts w:ascii="Times New Roman" w:hAnsi="Times New Roman"/>
                <w:color w:val="auto"/>
                <w:highlight w:val="none"/>
                <w:lang w:val="zh-CN"/>
              </w:rPr>
              <w:t>享有完整的知识产权。</w:t>
            </w:r>
          </w:p>
          <w:p>
            <w:pPr>
              <w:spacing w:line="560" w:lineRule="exact"/>
              <w:rPr>
                <w:rFonts w:ascii="Times New Roman" w:hAnsi="Times New Roman"/>
                <w:color w:val="auto"/>
                <w:highlight w:val="none"/>
                <w:lang w:val="zh-CN"/>
              </w:rPr>
            </w:pPr>
            <w:r>
              <w:rPr>
                <w:rFonts w:hint="eastAsia" w:ascii="Times New Roman" w:hAnsi="Times New Roman"/>
                <w:color w:val="auto"/>
                <w:highlight w:val="none"/>
                <w:lang w:val="zh-CN"/>
              </w:rPr>
              <w:t>（二）</w:t>
            </w:r>
            <w:r>
              <w:rPr>
                <w:rFonts w:ascii="Times New Roman" w:hAnsi="Times New Roman"/>
                <w:color w:val="auto"/>
                <w:highlight w:val="none"/>
                <w:lang w:val="zh-CN"/>
              </w:rPr>
              <w:t>成交供应商应承担对项目内容的保密义务，建立相应的保密制度、机制。调查的相关样本、资料数据、调查报告等的所有权属于南宁市税务局，未经允许，任何单位和个人不得擅自使用和传播。</w:t>
            </w:r>
          </w:p>
          <w:p>
            <w:pPr>
              <w:spacing w:line="560" w:lineRule="exact"/>
              <w:rPr>
                <w:rFonts w:ascii="Times New Roman" w:hAnsi="Times New Roman"/>
                <w:color w:val="auto"/>
                <w:highlight w:val="none"/>
                <w:lang w:val="zh-CN"/>
              </w:rPr>
            </w:pPr>
            <w:r>
              <w:rPr>
                <w:rFonts w:hint="eastAsia" w:ascii="Times New Roman" w:hAnsi="Times New Roman"/>
                <w:color w:val="auto"/>
                <w:highlight w:val="none"/>
                <w:lang w:val="zh-CN"/>
              </w:rPr>
              <w:t>（三）</w:t>
            </w:r>
            <w:r>
              <w:rPr>
                <w:rFonts w:ascii="Times New Roman" w:hAnsi="Times New Roman"/>
                <w:color w:val="auto"/>
                <w:highlight w:val="none"/>
                <w:lang w:val="zh-CN"/>
              </w:rPr>
              <w:t>成交供应商在项目进行的不同时间节点需向采购人报告工作进展情况，包含各项工作的开展情况、当前进度、取得的成果、预期完成时间、发现的问题等。</w:t>
            </w:r>
          </w:p>
          <w:p>
            <w:pPr>
              <w:spacing w:line="560" w:lineRule="exact"/>
              <w:rPr>
                <w:rFonts w:ascii="Times New Roman" w:hAnsi="Times New Roman"/>
                <w:color w:val="auto"/>
                <w:highlight w:val="none"/>
                <w:lang w:val="zh-CN"/>
              </w:rPr>
            </w:pPr>
            <w:r>
              <w:rPr>
                <w:rFonts w:hint="eastAsia" w:ascii="Times New Roman" w:hAnsi="Times New Roman"/>
                <w:color w:val="auto"/>
                <w:highlight w:val="none"/>
                <w:lang w:val="zh-CN"/>
              </w:rPr>
              <w:t>（四）</w:t>
            </w:r>
            <w:r>
              <w:rPr>
                <w:rFonts w:ascii="Times New Roman" w:hAnsi="Times New Roman"/>
                <w:color w:val="auto"/>
                <w:highlight w:val="none"/>
                <w:lang w:val="zh-CN"/>
              </w:rPr>
              <w:t>对在项目实施中需要协调和协助的工作，成交供应商需至少提前一周通知采购人相关对接人员，以便有充分的时间安排工作和业务协调。</w:t>
            </w:r>
          </w:p>
          <w:p>
            <w:pPr>
              <w:spacing w:line="560" w:lineRule="exact"/>
              <w:rPr>
                <w:rFonts w:ascii="Times New Roman" w:hAnsi="Times New Roman"/>
                <w:color w:val="auto"/>
                <w:highlight w:val="none"/>
                <w:lang w:val="zh-CN"/>
              </w:rPr>
            </w:pPr>
            <w:r>
              <w:rPr>
                <w:rFonts w:hint="eastAsia" w:ascii="Times New Roman" w:hAnsi="Times New Roman"/>
                <w:color w:val="auto"/>
                <w:highlight w:val="none"/>
                <w:lang w:val="zh-CN"/>
              </w:rPr>
              <w:t>（五）</w:t>
            </w:r>
            <w:r>
              <w:rPr>
                <w:rFonts w:ascii="Times New Roman" w:hAnsi="Times New Roman"/>
                <w:color w:val="auto"/>
                <w:highlight w:val="none"/>
                <w:lang w:val="zh-CN"/>
              </w:rPr>
              <w:t>为保证评价结论的可追溯性，成交供应商要保留完整的原始数据及其他资料，资料包括但不限于</w:t>
            </w:r>
            <w:r>
              <w:rPr>
                <w:rFonts w:hint="eastAsia" w:ascii="Times New Roman" w:hAnsi="Times New Roman"/>
                <w:color w:val="auto"/>
                <w:highlight w:val="none"/>
                <w:lang w:val="zh-CN"/>
              </w:rPr>
              <w:t>文稿</w:t>
            </w:r>
            <w:r>
              <w:rPr>
                <w:rFonts w:ascii="Times New Roman" w:hAnsi="Times New Roman"/>
                <w:color w:val="auto"/>
                <w:highlight w:val="none"/>
                <w:lang w:val="zh-CN"/>
              </w:rPr>
              <w:t>、</w:t>
            </w:r>
            <w:r>
              <w:rPr>
                <w:rFonts w:hint="eastAsia" w:ascii="Times New Roman" w:hAnsi="Times New Roman"/>
                <w:color w:val="auto"/>
                <w:highlight w:val="none"/>
                <w:lang w:val="zh-CN"/>
              </w:rPr>
              <w:t>图片</w:t>
            </w:r>
            <w:r>
              <w:rPr>
                <w:rFonts w:ascii="Times New Roman" w:hAnsi="Times New Roman"/>
                <w:color w:val="auto"/>
                <w:highlight w:val="none"/>
                <w:lang w:val="zh-CN"/>
              </w:rPr>
              <w:t>、</w:t>
            </w:r>
            <w:r>
              <w:rPr>
                <w:rFonts w:hint="eastAsia" w:ascii="Times New Roman" w:hAnsi="Times New Roman"/>
                <w:color w:val="auto"/>
                <w:highlight w:val="none"/>
                <w:lang w:val="zh-CN"/>
              </w:rPr>
              <w:t>视频素材</w:t>
            </w:r>
            <w:r>
              <w:rPr>
                <w:rFonts w:ascii="Times New Roman" w:hAnsi="Times New Roman"/>
                <w:color w:val="auto"/>
                <w:highlight w:val="none"/>
                <w:lang w:val="zh-CN"/>
              </w:rPr>
              <w:t>等。</w:t>
            </w:r>
          </w:p>
          <w:p>
            <w:pPr>
              <w:pStyle w:val="11"/>
              <w:adjustRightInd w:val="0"/>
              <w:snapToGrid w:val="0"/>
              <w:spacing w:line="560" w:lineRule="exact"/>
              <w:rPr>
                <w:rFonts w:ascii="Times New Roman" w:hAnsi="Times New Roman" w:cs="Times New Roman"/>
                <w:color w:val="auto"/>
                <w:szCs w:val="32"/>
                <w:highlight w:val="none"/>
              </w:rPr>
            </w:pPr>
            <w:r>
              <w:rPr>
                <w:rFonts w:hint="eastAsia" w:ascii="Times New Roman" w:hAnsi="Times New Roman"/>
                <w:color w:val="auto"/>
                <w:highlight w:val="none"/>
                <w:lang w:val="zh-CN"/>
              </w:rPr>
              <w:t>（六）成交</w:t>
            </w:r>
            <w:r>
              <w:rPr>
                <w:rFonts w:ascii="Times New Roman" w:hAnsi="Times New Roman"/>
                <w:color w:val="auto"/>
                <w:highlight w:val="none"/>
                <w:lang w:val="zh-CN"/>
              </w:rPr>
              <w:t>供应商对在服务过程中所获取或知悉的采购人及纳税人的任何信息、任何资料均负有保密义务，保密义务不因合同终止或解除而免除。</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四、其他事项</w:t>
      </w:r>
      <w:bookmarkEnd w:id="66"/>
    </w:p>
    <w:p>
      <w:pPr>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1.供应商提供的服务必须符合国家和行业标准。</w:t>
      </w:r>
    </w:p>
    <w:p>
      <w:pPr>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2.标“★”为实质性参数要求和条件，供应商必须满足并在</w:t>
      </w:r>
      <w:r>
        <w:rPr>
          <w:rFonts w:hint="eastAsia" w:ascii="宋体" w:hAnsi="宋体" w:cs="宋体"/>
          <w:color w:val="auto"/>
          <w:kern w:val="2"/>
          <w:sz w:val="21"/>
          <w:szCs w:val="21"/>
          <w:highlight w:val="none"/>
          <w:lang w:val="en-US" w:eastAsia="zh-CN" w:bidi="ar-SA"/>
        </w:rPr>
        <w:t>响应文件</w:t>
      </w:r>
      <w:r>
        <w:rPr>
          <w:rFonts w:hint="eastAsia" w:ascii="宋体" w:hAnsi="宋体" w:eastAsia="宋体" w:cs="宋体"/>
          <w:color w:val="auto"/>
          <w:kern w:val="2"/>
          <w:sz w:val="21"/>
          <w:szCs w:val="21"/>
          <w:highlight w:val="none"/>
          <w:lang w:val="en-US" w:eastAsia="zh-CN" w:bidi="ar-SA"/>
        </w:rPr>
        <w:t>中如实作出响应，否则竞标无效；标“▲”为重点指标；无标识的为一般指标。</w:t>
      </w:r>
    </w:p>
    <w:p>
      <w:pPr>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3.供应商竞标时必须在响应文件中对所有项目要求及技术需求内容、商务要求表中内容及附件内容（如有）逐条响应并一一对应。</w:t>
      </w:r>
    </w:p>
    <w:p>
      <w:pPr>
        <w:pStyle w:val="10"/>
        <w:rPr>
          <w:rFonts w:hint="eastAsia" w:ascii="宋体" w:hAnsi="宋体" w:eastAsia="宋体" w:cs="宋体"/>
          <w:b w:val="0"/>
          <w:color w:val="auto"/>
          <w:kern w:val="2"/>
          <w:sz w:val="21"/>
          <w:szCs w:val="21"/>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微软雅黑"/>
    <w:panose1 w:val="02000000000000000000"/>
    <w:charset w:val="86"/>
    <w:family w:val="script"/>
    <w:pitch w:val="default"/>
    <w:sig w:usb0="00000000" w:usb1="00000000" w:usb2="00000012"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pacing w:after="0" w:line="240" w:lineRule="auto"/>
                            <w:jc w:val="center"/>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pacing w:after="0" w:line="240" w:lineRule="auto"/>
                      <w:jc w:val="center"/>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pacing w:after="0" w:line="240" w:lineRule="auto"/>
                            <w:jc w:val="center"/>
                          </w:pPr>
                          <w:r>
                            <w:t xml:space="preserve">— </w:t>
                          </w:r>
                          <w:r>
                            <w:fldChar w:fldCharType="begin"/>
                          </w:r>
                          <w:r>
                            <w:instrText xml:space="preserve"> PAGE  \* MERGEFORMAT </w:instrText>
                          </w:r>
                          <w:r>
                            <w:fldChar w:fldCharType="separate"/>
                          </w:r>
                          <w:r>
                            <w:t>4</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pacing w:after="0" w:line="240" w:lineRule="auto"/>
                      <w:jc w:val="center"/>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end"/>
    </w:r>
  </w:p>
  <w:p>
    <w:pPr>
      <w:pStyle w:val="12"/>
    </w:pPr>
  </w:p>
  <w:p/>
  <w:p/>
  <w:p/>
  <w:p/>
  <w:p/>
  <w:p/>
  <w:p/>
  <w:p/>
  <w:p/>
  <w:p/>
  <w:p/>
  <w:p/>
  <w:p/>
  <w:p/>
  <w:p/>
  <w:p/>
  <w:p/>
  <w:p/>
  <w:p/>
  <w:p/>
  <w:p/>
  <w:p/>
  <w:p/>
  <w:p/>
  <w:p/>
  <w:p/>
  <w:p/>
  <w:p/>
  <w:p/>
  <w:p/>
  <w:p/>
  <w:p/>
  <w:p/>
  <w:p/>
  <w:p/>
  <w:p/>
  <w:p/>
  <w:p/>
  <w:p/>
  <w:p/>
  <w:p/>
  <w:p/>
  <w:p/>
  <w:p/>
  <w:p/>
  <w:p/>
  <w:p/>
  <w:p/>
  <w:p/>
  <w:p/>
  <w:p/>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pacing w:after="0" w:line="240" w:lineRule="auto"/>
                            <w:jc w:val="center"/>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pacing w:after="0" w:line="240" w:lineRule="auto"/>
                      <w:jc w:val="center"/>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p/>
  <w:p/>
  <w:p/>
  <w:p/>
  <w:p/>
  <w:p/>
  <w:p/>
  <w:p/>
  <w:p/>
  <w:p/>
  <w:p/>
  <w:p/>
  <w:p/>
  <w:p/>
  <w:p/>
  <w:p/>
  <w:p/>
  <w:p/>
  <w:p/>
  <w:p/>
  <w:p/>
  <w:p/>
  <w:p/>
  <w:p/>
  <w:p/>
  <w:p/>
  <w:p/>
  <w:p/>
  <w:p/>
  <w:p/>
  <w:p/>
  <w:p/>
  <w:p/>
  <w:p/>
  <w:p/>
  <w:p/>
  <w:p/>
  <w:p/>
  <w:p/>
  <w:p/>
  <w:p/>
  <w:p/>
  <w:p/>
  <w:p/>
  <w:p/>
  <w:p/>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51C825"/>
    <w:multiLevelType w:val="singleLevel"/>
    <w:tmpl w:val="FB51C825"/>
    <w:lvl w:ilvl="0" w:tentative="0">
      <w:start w:val="1"/>
      <w:numFmt w:val="decimal"/>
      <w:pStyle w:val="7"/>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3N2FmYjEwZjE0ZTNiY2M1OTQwNWU0ZjgwMzM4ZmYifQ=="/>
  </w:docVars>
  <w:rsids>
    <w:rsidRoot w:val="00172A27"/>
    <w:rsid w:val="01B81B4C"/>
    <w:rsid w:val="01D92DCF"/>
    <w:rsid w:val="04B36607"/>
    <w:rsid w:val="04F8749B"/>
    <w:rsid w:val="050D0B62"/>
    <w:rsid w:val="06534CB4"/>
    <w:rsid w:val="077B2E68"/>
    <w:rsid w:val="0C3062BC"/>
    <w:rsid w:val="0FD37736"/>
    <w:rsid w:val="14DE1430"/>
    <w:rsid w:val="150F0A87"/>
    <w:rsid w:val="15884437"/>
    <w:rsid w:val="17714152"/>
    <w:rsid w:val="179D275C"/>
    <w:rsid w:val="19115AA2"/>
    <w:rsid w:val="1B576F32"/>
    <w:rsid w:val="1DEB2215"/>
    <w:rsid w:val="1E6E52B3"/>
    <w:rsid w:val="1ECA2B86"/>
    <w:rsid w:val="1FF71220"/>
    <w:rsid w:val="251256F5"/>
    <w:rsid w:val="276D0EC7"/>
    <w:rsid w:val="292F3F43"/>
    <w:rsid w:val="2A0030F1"/>
    <w:rsid w:val="2A5A6B17"/>
    <w:rsid w:val="2A64465C"/>
    <w:rsid w:val="2BDC33CC"/>
    <w:rsid w:val="2D750E23"/>
    <w:rsid w:val="30842D18"/>
    <w:rsid w:val="312245A1"/>
    <w:rsid w:val="338D5461"/>
    <w:rsid w:val="34CA2915"/>
    <w:rsid w:val="35FC3207"/>
    <w:rsid w:val="37E45AE7"/>
    <w:rsid w:val="38A86551"/>
    <w:rsid w:val="3B016F3B"/>
    <w:rsid w:val="3B626996"/>
    <w:rsid w:val="3BA905B9"/>
    <w:rsid w:val="3C4453A5"/>
    <w:rsid w:val="3D4432FD"/>
    <w:rsid w:val="3EB0268A"/>
    <w:rsid w:val="40B80144"/>
    <w:rsid w:val="41A04D1D"/>
    <w:rsid w:val="4B35592E"/>
    <w:rsid w:val="4BF521E4"/>
    <w:rsid w:val="4CB07CC3"/>
    <w:rsid w:val="4DE6034E"/>
    <w:rsid w:val="4E78771B"/>
    <w:rsid w:val="4EB828E8"/>
    <w:rsid w:val="509D58AE"/>
    <w:rsid w:val="50A4281C"/>
    <w:rsid w:val="511459BB"/>
    <w:rsid w:val="525C36F3"/>
    <w:rsid w:val="534E0C84"/>
    <w:rsid w:val="57C3151F"/>
    <w:rsid w:val="57CC604B"/>
    <w:rsid w:val="580C1D0B"/>
    <w:rsid w:val="5BE01EB3"/>
    <w:rsid w:val="5CC31DEC"/>
    <w:rsid w:val="5D785E61"/>
    <w:rsid w:val="5D99642F"/>
    <w:rsid w:val="5FA0171C"/>
    <w:rsid w:val="608B63BC"/>
    <w:rsid w:val="60BD07E2"/>
    <w:rsid w:val="61A34870"/>
    <w:rsid w:val="63213EEB"/>
    <w:rsid w:val="6410516D"/>
    <w:rsid w:val="64287826"/>
    <w:rsid w:val="64896299"/>
    <w:rsid w:val="685D02F5"/>
    <w:rsid w:val="691E6A81"/>
    <w:rsid w:val="69FD2C62"/>
    <w:rsid w:val="6A067567"/>
    <w:rsid w:val="6BE41F90"/>
    <w:rsid w:val="6C9F5B95"/>
    <w:rsid w:val="6E4A4AA0"/>
    <w:rsid w:val="6E89389D"/>
    <w:rsid w:val="71784A8C"/>
    <w:rsid w:val="719C1076"/>
    <w:rsid w:val="722178D3"/>
    <w:rsid w:val="75F25DFD"/>
    <w:rsid w:val="768B5F32"/>
    <w:rsid w:val="76B03475"/>
    <w:rsid w:val="76C54713"/>
    <w:rsid w:val="787D2C9D"/>
    <w:rsid w:val="79CC5830"/>
    <w:rsid w:val="7AC571DC"/>
    <w:rsid w:val="7AFD6CDB"/>
    <w:rsid w:val="7CAA0640"/>
    <w:rsid w:val="7DDF7C3C"/>
    <w:rsid w:val="7EAA0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outlineLvl w:val="0"/>
    </w:pPr>
    <w:rPr>
      <w:rFonts w:eastAsia="华文新魏"/>
      <w:b/>
    </w:rPr>
  </w:style>
  <w:style w:type="paragraph" w:styleId="4">
    <w:name w:val="heading 2"/>
    <w:basedOn w:val="1"/>
    <w:next w:val="1"/>
    <w:unhideWhenUsed/>
    <w:qFormat/>
    <w:uiPriority w:val="0"/>
    <w:pPr>
      <w:keepNext/>
      <w:keepLines/>
      <w:spacing w:line="360" w:lineRule="auto"/>
      <w:ind w:firstLine="964"/>
      <w:outlineLvl w:val="1"/>
    </w:pPr>
    <w:rPr>
      <w:rFonts w:ascii="Cambria" w:hAnsi="Cambria" w:eastAsia="仿宋"/>
      <w:b/>
      <w:bCs/>
      <w:sz w:val="30"/>
      <w:szCs w:val="32"/>
    </w:rPr>
  </w:style>
  <w:style w:type="paragraph" w:styleId="5">
    <w:name w:val="heading 3"/>
    <w:basedOn w:val="1"/>
    <w:next w:val="1"/>
    <w:unhideWhenUsed/>
    <w:qFormat/>
    <w:uiPriority w:val="0"/>
    <w:pPr>
      <w:keepNext/>
      <w:keepLines/>
      <w:spacing w:line="360" w:lineRule="auto"/>
      <w:ind w:firstLine="964"/>
      <w:outlineLvl w:val="2"/>
    </w:pPr>
    <w:rPr>
      <w:b/>
      <w:bCs/>
      <w:kern w:val="0"/>
      <w:sz w:val="30"/>
      <w:szCs w:val="32"/>
    </w:rPr>
  </w:style>
  <w:style w:type="paragraph" w:styleId="6">
    <w:name w:val="heading 5"/>
    <w:basedOn w:val="7"/>
    <w:next w:val="8"/>
    <w:qFormat/>
    <w:uiPriority w:val="9"/>
    <w:pPr>
      <w:keepNext/>
      <w:keepLines/>
      <w:tabs>
        <w:tab w:val="left" w:pos="780"/>
      </w:tabs>
      <w:spacing w:before="280" w:after="290" w:line="377" w:lineRule="auto"/>
      <w:ind w:firstLine="200" w:firstLineChars="200"/>
      <w:outlineLvl w:val="4"/>
    </w:pPr>
    <w:rPr>
      <w:rFonts w:ascii="Times New Roman" w:hAnsi="Times New Roman" w:eastAsia="仿宋_GB2312" w:cs="Times New Roman"/>
      <w:bCs/>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adjustRightInd w:val="0"/>
      <w:snapToGrid w:val="0"/>
      <w:spacing w:before="240" w:after="60"/>
      <w:jc w:val="center"/>
      <w:outlineLvl w:val="0"/>
    </w:pPr>
    <w:rPr>
      <w:rFonts w:ascii="Cambria" w:hAnsi="Cambria" w:eastAsia="宋体"/>
      <w:b/>
      <w:bCs/>
      <w:szCs w:val="32"/>
    </w:rPr>
  </w:style>
  <w:style w:type="paragraph" w:styleId="7">
    <w:name w:val="List Number 2"/>
    <w:basedOn w:val="1"/>
    <w:qFormat/>
    <w:uiPriority w:val="0"/>
    <w:pPr>
      <w:numPr>
        <w:ilvl w:val="0"/>
        <w:numId w:val="1"/>
      </w:numPr>
    </w:p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text"/>
    <w:basedOn w:val="1"/>
    <w:qFormat/>
    <w:uiPriority w:val="0"/>
    <w:pPr>
      <w:jc w:val="left"/>
    </w:pPr>
  </w:style>
  <w:style w:type="paragraph" w:styleId="10">
    <w:name w:val="Body Text"/>
    <w:basedOn w:val="1"/>
    <w:next w:val="1"/>
    <w:qFormat/>
    <w:uiPriority w:val="1"/>
    <w:rPr>
      <w:b/>
      <w:szCs w:val="24"/>
    </w:rPr>
  </w:style>
  <w:style w:type="paragraph" w:styleId="11">
    <w:name w:val="Plain Text"/>
    <w:basedOn w:val="1"/>
    <w:next w:val="1"/>
    <w:unhideWhenUsed/>
    <w:qFormat/>
    <w:uiPriority w:val="99"/>
    <w:rPr>
      <w:rFonts w:ascii="宋体" w:hAnsi="Courier New" w:eastAsia="宋体" w:cs="Courier New"/>
      <w:szCs w:val="21"/>
    </w:r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unhideWhenUsed/>
    <w:qFormat/>
    <w:uiPriority w:val="39"/>
  </w:style>
  <w:style w:type="paragraph" w:styleId="15">
    <w:name w:val="toc 2"/>
    <w:basedOn w:val="1"/>
    <w:next w:val="1"/>
    <w:unhideWhenUsed/>
    <w:qFormat/>
    <w:uiPriority w:val="39"/>
    <w:pPr>
      <w:ind w:left="420" w:leftChars="200"/>
    </w:pPr>
  </w:style>
  <w:style w:type="table" w:styleId="17">
    <w:name w:val="Table Grid"/>
    <w:basedOn w:val="16"/>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99"/>
  </w:style>
  <w:style w:type="character" w:styleId="20">
    <w:name w:val="FollowedHyperlink"/>
    <w:basedOn w:val="18"/>
    <w:qFormat/>
    <w:uiPriority w:val="0"/>
    <w:rPr>
      <w:color w:val="333333"/>
      <w:u w:val="none"/>
    </w:rPr>
  </w:style>
  <w:style w:type="character" w:styleId="21">
    <w:name w:val="Emphasis"/>
    <w:basedOn w:val="18"/>
    <w:qFormat/>
    <w:uiPriority w:val="0"/>
  </w:style>
  <w:style w:type="character" w:styleId="22">
    <w:name w:val="Hyperlink"/>
    <w:unhideWhenUsed/>
    <w:qFormat/>
    <w:uiPriority w:val="99"/>
    <w:rPr>
      <w:color w:val="0000FF"/>
      <w:u w:val="single"/>
    </w:rPr>
  </w:style>
  <w:style w:type="paragraph" w:customStyle="1" w:styleId="23">
    <w:name w:val="null3"/>
    <w:qFormat/>
    <w:uiPriority w:val="0"/>
    <w:rPr>
      <w:rFonts w:hint="eastAsia" w:ascii="Calibri" w:hAnsi="Calibri" w:eastAsia="宋体" w:cs="Times New Roman"/>
      <w:lang w:val="en-US" w:eastAsia="zh-CN" w:bidi="ar-SA"/>
    </w:rPr>
  </w:style>
  <w:style w:type="paragraph" w:customStyle="1" w:styleId="24">
    <w:name w:val="样式1"/>
    <w:basedOn w:val="1"/>
    <w:qFormat/>
    <w:uiPriority w:val="0"/>
    <w:pPr>
      <w:jc w:val="center"/>
    </w:pPr>
    <w:rPr>
      <w:rFonts w:eastAsia="方正大标宋简体"/>
      <w:sz w:val="52"/>
    </w:rPr>
  </w:style>
  <w:style w:type="paragraph" w:customStyle="1" w:styleId="25">
    <w:name w:val="Normal Indent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26">
    <w:name w:val="Table Paragraph"/>
    <w:basedOn w:val="1"/>
    <w:qFormat/>
    <w:uiPriority w:val="1"/>
    <w:rPr>
      <w:rFonts w:ascii="宋体" w:hAnsi="宋体" w:eastAsia="宋体" w:cs="宋体"/>
      <w:lang w:val="zh-CN" w:eastAsia="zh-CN" w:bidi="zh-CN"/>
    </w:rPr>
  </w:style>
  <w:style w:type="character" w:customStyle="1" w:styleId="27">
    <w:name w:val="NormalCharacter"/>
    <w:qFormat/>
    <w:uiPriority w:val="0"/>
  </w:style>
  <w:style w:type="paragraph" w:customStyle="1" w:styleId="28">
    <w:name w:val="List Paragraph"/>
    <w:basedOn w:val="1"/>
    <w:qFormat/>
    <w:uiPriority w:val="0"/>
    <w:pPr>
      <w:ind w:firstLine="420" w:firstLineChars="200"/>
    </w:pPr>
    <w:rPr>
      <w:szCs w:val="21"/>
    </w:rPr>
  </w:style>
  <w:style w:type="paragraph" w:customStyle="1" w:styleId="29">
    <w:name w:val="BodyText"/>
    <w:basedOn w:val="1"/>
    <w:qFormat/>
    <w:uiPriority w:val="0"/>
    <w:pPr>
      <w:spacing w:line="380" w:lineRule="exact"/>
      <w:jc w:val="both"/>
      <w:textAlignment w:val="baseline"/>
    </w:pPr>
    <w:rPr>
      <w:rFonts w:ascii="Times New Roman" w:hAnsi="Times New Roman" w:eastAsia="宋体"/>
      <w:kern w:val="2"/>
      <w:sz w:val="24"/>
      <w:szCs w:val="24"/>
      <w:lang w:val="en-US" w:eastAsia="zh-CN" w:bidi="ar-SA"/>
    </w:rPr>
  </w:style>
  <w:style w:type="character" w:customStyle="1" w:styleId="30">
    <w:name w:val="a_p_1"/>
    <w:basedOn w:val="18"/>
    <w:qFormat/>
    <w:uiPriority w:val="0"/>
    <w:rPr>
      <w:sz w:val="24"/>
      <w:szCs w:val="24"/>
    </w:rPr>
  </w:style>
  <w:style w:type="character" w:customStyle="1" w:styleId="31">
    <w:name w:val="a_p_3"/>
    <w:basedOn w:val="18"/>
    <w:qFormat/>
    <w:uiPriority w:val="0"/>
    <w:rPr>
      <w:sz w:val="24"/>
      <w:szCs w:val="24"/>
    </w:rPr>
  </w:style>
  <w:style w:type="character" w:customStyle="1" w:styleId="32">
    <w:name w:val="a_p_2"/>
    <w:basedOn w:val="18"/>
    <w:qFormat/>
    <w:uiPriority w:val="0"/>
    <w:rPr>
      <w:sz w:val="24"/>
      <w:szCs w:val="24"/>
    </w:rPr>
  </w:style>
  <w:style w:type="character" w:customStyle="1" w:styleId="33">
    <w:name w:val="a_p_21"/>
    <w:basedOn w:val="18"/>
    <w:qFormat/>
    <w:uiPriority w:val="0"/>
  </w:style>
  <w:style w:type="character" w:customStyle="1" w:styleId="34">
    <w:name w:val="exap"/>
    <w:basedOn w:val="18"/>
    <w:qFormat/>
    <w:uiPriority w:val="0"/>
    <w:rPr>
      <w:sz w:val="24"/>
      <w:szCs w:val="24"/>
    </w:rPr>
  </w:style>
  <w:style w:type="character" w:customStyle="1" w:styleId="35">
    <w:name w:val="ul_li_a_1"/>
    <w:basedOn w:val="18"/>
    <w:qFormat/>
    <w:uiPriority w:val="0"/>
    <w:rPr>
      <w:color w:val="FFFFFF"/>
    </w:rPr>
  </w:style>
  <w:style w:type="character" w:customStyle="1" w:styleId="36">
    <w:name w:val="layui-layer-tabnow"/>
    <w:basedOn w:val="18"/>
    <w:qFormat/>
    <w:uiPriority w:val="0"/>
    <w:rPr>
      <w:bdr w:val="single" w:color="CCCCCC" w:sz="6" w:space="0"/>
      <w:shd w:val="clear" w:fill="FFFFFF"/>
    </w:rPr>
  </w:style>
  <w:style w:type="character" w:customStyle="1" w:styleId="37">
    <w:name w:val="first-child"/>
    <w:basedOn w:val="18"/>
    <w:qFormat/>
    <w:uiPriority w:val="0"/>
  </w:style>
  <w:style w:type="paragraph" w:customStyle="1" w:styleId="38">
    <w:name w:val="Default"/>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32486</Words>
  <Characters>35261</Characters>
  <Lines>0</Lines>
  <Paragraphs>0</Paragraphs>
  <TotalTime>24</TotalTime>
  <ScaleCrop>false</ScaleCrop>
  <LinksUpToDate>false</LinksUpToDate>
  <CharactersWithSpaces>37300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2024-02-19T01:02:00Z</dcterms:created>
  <dc:creator>邓小兰</dc:creator>
  <cp:lastModifiedBy>zb</cp:lastModifiedBy>
  <cp:lastPrinted>2024-03-04T02:29:00Z</cp:lastPrinted>
  <dcterms:modified xsi:type="dcterms:W3CDTF">2024-07-02T08:01:35Z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3DD80DB83EAD4539914E17C44001E66E_13</vt:lpwstr>
  </property>
</Properties>
</file>