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left"/>
        <w:rPr>
          <w:rFonts w:ascii="宋体" w:hAnsi="宋体"/>
          <w:b/>
          <w:sz w:val="28"/>
          <w:szCs w:val="28"/>
        </w:rPr>
      </w:pPr>
      <w:bookmarkStart w:id="0" w:name="_GoBack"/>
      <w:bookmarkEnd w:id="0"/>
      <w:r>
        <w:rPr>
          <w:rFonts w:ascii="宋体" w:hAnsi="宋体"/>
          <w:b/>
          <w:sz w:val="28"/>
          <w:szCs w:val="28"/>
        </w:rPr>
        <w:t>F210                    纳税调整项目明细表</w:t>
      </w:r>
    </w:p>
    <w:tbl>
      <w:tblPr>
        <w:tblStyle w:val="5"/>
        <w:tblW w:w="1037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5582"/>
        <w:gridCol w:w="1061"/>
        <w:gridCol w:w="1026"/>
        <w:gridCol w:w="1053"/>
        <w:gridCol w:w="10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Merge w:val="restart"/>
            <w:tcBorders>
              <w:top w:val="single" w:color="auto" w:sz="12" w:space="0"/>
            </w:tcBorders>
            <w:vAlign w:val="center"/>
          </w:tcPr>
          <w:p>
            <w:pPr>
              <w:widowControl/>
              <w:jc w:val="center"/>
              <w:rPr>
                <w:rFonts w:ascii="宋体"/>
                <w:kern w:val="0"/>
                <w:sz w:val="20"/>
                <w:szCs w:val="20"/>
              </w:rPr>
            </w:pPr>
            <w:r>
              <w:rPr>
                <w:rFonts w:hint="eastAsia" w:ascii="宋体" w:hAnsi="宋体" w:cs="宋体"/>
                <w:kern w:val="0"/>
                <w:sz w:val="20"/>
                <w:szCs w:val="20"/>
              </w:rPr>
              <w:t>行次</w:t>
            </w:r>
          </w:p>
        </w:tc>
        <w:tc>
          <w:tcPr>
            <w:tcW w:w="5582" w:type="dxa"/>
            <w:vMerge w:val="restart"/>
            <w:tcBorders>
              <w:top w:val="single" w:color="auto" w:sz="12" w:space="0"/>
            </w:tcBorders>
            <w:vAlign w:val="center"/>
          </w:tcPr>
          <w:p>
            <w:pPr>
              <w:widowControl/>
              <w:jc w:val="center"/>
              <w:rPr>
                <w:rFonts w:ascii="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1061" w:type="dxa"/>
            <w:tcBorders>
              <w:top w:val="single" w:color="auto" w:sz="12" w:space="0"/>
            </w:tcBorders>
            <w:vAlign w:val="center"/>
          </w:tcPr>
          <w:p>
            <w:pPr>
              <w:widowControl/>
              <w:jc w:val="center"/>
              <w:rPr>
                <w:rFonts w:ascii="宋体"/>
                <w:kern w:val="0"/>
                <w:sz w:val="20"/>
                <w:szCs w:val="20"/>
              </w:rPr>
            </w:pPr>
            <w:r>
              <w:rPr>
                <w:rFonts w:hint="eastAsia" w:ascii="宋体" w:hAnsi="宋体" w:cs="宋体"/>
                <w:kern w:val="0"/>
                <w:sz w:val="20"/>
                <w:szCs w:val="20"/>
              </w:rPr>
              <w:t>账载数额</w:t>
            </w:r>
          </w:p>
        </w:tc>
        <w:tc>
          <w:tcPr>
            <w:tcW w:w="1026" w:type="dxa"/>
            <w:tcBorders>
              <w:top w:val="single" w:color="auto" w:sz="12" w:space="0"/>
            </w:tcBorders>
            <w:vAlign w:val="center"/>
          </w:tcPr>
          <w:p>
            <w:pPr>
              <w:widowControl/>
              <w:jc w:val="center"/>
              <w:rPr>
                <w:rFonts w:ascii="宋体"/>
                <w:kern w:val="0"/>
                <w:sz w:val="20"/>
                <w:szCs w:val="20"/>
              </w:rPr>
            </w:pPr>
            <w:r>
              <w:rPr>
                <w:rFonts w:hint="eastAsia" w:ascii="宋体" w:hAnsi="宋体" w:cs="宋体"/>
                <w:kern w:val="0"/>
                <w:sz w:val="20"/>
                <w:szCs w:val="20"/>
              </w:rPr>
              <w:t>税收数额</w:t>
            </w:r>
          </w:p>
        </w:tc>
        <w:tc>
          <w:tcPr>
            <w:tcW w:w="1053" w:type="dxa"/>
            <w:tcBorders>
              <w:top w:val="single" w:color="auto" w:sz="12" w:space="0"/>
            </w:tcBorders>
            <w:vAlign w:val="center"/>
          </w:tcPr>
          <w:p>
            <w:pPr>
              <w:widowControl/>
              <w:jc w:val="center"/>
              <w:rPr>
                <w:rFonts w:ascii="宋体"/>
                <w:kern w:val="0"/>
                <w:sz w:val="20"/>
                <w:szCs w:val="20"/>
              </w:rPr>
            </w:pPr>
            <w:r>
              <w:rPr>
                <w:rFonts w:hint="eastAsia" w:ascii="宋体" w:hAnsi="宋体" w:cs="宋体"/>
                <w:kern w:val="0"/>
                <w:sz w:val="20"/>
                <w:szCs w:val="20"/>
              </w:rPr>
              <w:t>调增数额</w:t>
            </w:r>
          </w:p>
        </w:tc>
        <w:tc>
          <w:tcPr>
            <w:tcW w:w="1016" w:type="dxa"/>
            <w:tcBorders>
              <w:top w:val="single" w:color="auto" w:sz="12" w:space="0"/>
            </w:tcBorders>
            <w:vAlign w:val="center"/>
          </w:tcPr>
          <w:p>
            <w:pPr>
              <w:widowControl/>
              <w:jc w:val="center"/>
              <w:rPr>
                <w:rFonts w:ascii="宋体"/>
                <w:kern w:val="0"/>
                <w:sz w:val="20"/>
                <w:szCs w:val="20"/>
              </w:rPr>
            </w:pPr>
            <w:r>
              <w:rPr>
                <w:rFonts w:hint="eastAsia" w:ascii="宋体" w:hAnsi="宋体" w:cs="宋体"/>
                <w:kern w:val="0"/>
                <w:sz w:val="20"/>
                <w:szCs w:val="20"/>
              </w:rPr>
              <w:t>调减数额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Merge w:val="continue"/>
            <w:vAlign w:val="center"/>
          </w:tcPr>
          <w:p>
            <w:pPr>
              <w:widowControl/>
              <w:jc w:val="left"/>
              <w:rPr>
                <w:rFonts w:ascii="宋体"/>
                <w:kern w:val="0"/>
                <w:sz w:val="20"/>
                <w:szCs w:val="20"/>
              </w:rPr>
            </w:pPr>
          </w:p>
        </w:tc>
        <w:tc>
          <w:tcPr>
            <w:tcW w:w="5582" w:type="dxa"/>
            <w:vMerge w:val="continue"/>
            <w:vAlign w:val="center"/>
          </w:tcPr>
          <w:p>
            <w:pPr>
              <w:widowControl/>
              <w:jc w:val="left"/>
              <w:rPr>
                <w:rFonts w:ascii="宋体"/>
                <w:kern w:val="0"/>
                <w:sz w:val="20"/>
                <w:szCs w:val="20"/>
              </w:rPr>
            </w:pPr>
          </w:p>
        </w:tc>
        <w:tc>
          <w:tcPr>
            <w:tcW w:w="1061" w:type="dxa"/>
            <w:vAlign w:val="center"/>
          </w:tcPr>
          <w:p>
            <w:pPr>
              <w:widowControl/>
              <w:jc w:val="center"/>
              <w:rPr>
                <w:rFonts w:ascii="宋体"/>
                <w:kern w:val="0"/>
                <w:sz w:val="20"/>
                <w:szCs w:val="20"/>
              </w:rPr>
            </w:pPr>
            <w:r>
              <w:rPr>
                <w:rFonts w:ascii="宋体" w:hAnsi="宋体" w:cs="宋体"/>
                <w:kern w:val="0"/>
                <w:sz w:val="20"/>
                <w:szCs w:val="20"/>
              </w:rPr>
              <w:t>1</w:t>
            </w:r>
          </w:p>
        </w:tc>
        <w:tc>
          <w:tcPr>
            <w:tcW w:w="1026" w:type="dxa"/>
            <w:vAlign w:val="center"/>
          </w:tcPr>
          <w:p>
            <w:pPr>
              <w:widowControl/>
              <w:jc w:val="center"/>
              <w:rPr>
                <w:rFonts w:ascii="宋体"/>
                <w:kern w:val="0"/>
                <w:sz w:val="20"/>
                <w:szCs w:val="20"/>
              </w:rPr>
            </w:pPr>
            <w:r>
              <w:rPr>
                <w:rFonts w:ascii="宋体" w:hAnsi="宋体" w:cs="宋体"/>
                <w:kern w:val="0"/>
                <w:sz w:val="20"/>
                <w:szCs w:val="20"/>
              </w:rPr>
              <w:t>2</w:t>
            </w:r>
          </w:p>
        </w:tc>
        <w:tc>
          <w:tcPr>
            <w:tcW w:w="1053" w:type="dxa"/>
            <w:vAlign w:val="center"/>
          </w:tcPr>
          <w:p>
            <w:pPr>
              <w:widowControl/>
              <w:jc w:val="center"/>
              <w:rPr>
                <w:rFonts w:ascii="宋体"/>
                <w:kern w:val="0"/>
                <w:sz w:val="20"/>
                <w:szCs w:val="20"/>
              </w:rPr>
            </w:pPr>
            <w:r>
              <w:rPr>
                <w:rFonts w:ascii="宋体" w:hAnsi="宋体" w:cs="宋体"/>
                <w:kern w:val="0"/>
                <w:sz w:val="20"/>
                <w:szCs w:val="20"/>
              </w:rPr>
              <w:t>3</w:t>
            </w:r>
          </w:p>
        </w:tc>
        <w:tc>
          <w:tcPr>
            <w:tcW w:w="1016" w:type="dxa"/>
            <w:vAlign w:val="center"/>
          </w:tcPr>
          <w:p>
            <w:pPr>
              <w:widowControl/>
              <w:jc w:val="center"/>
              <w:rPr>
                <w:rFonts w:ascii="宋体"/>
                <w:kern w:val="0"/>
                <w:sz w:val="20"/>
                <w:szCs w:val="20"/>
              </w:rPr>
            </w:pPr>
            <w:r>
              <w:rPr>
                <w:rFonts w:ascii="宋体" w:hAnsi="宋体" w:cs="宋体"/>
                <w:kern w:val="0"/>
                <w:sz w:val="20"/>
                <w:szCs w:val="20"/>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w:t>
            </w:r>
          </w:p>
        </w:tc>
        <w:tc>
          <w:tcPr>
            <w:tcW w:w="5582" w:type="dxa"/>
            <w:vAlign w:val="center"/>
          </w:tcPr>
          <w:p>
            <w:pPr>
              <w:widowControl/>
              <w:jc w:val="left"/>
              <w:rPr>
                <w:rFonts w:ascii="宋体"/>
                <w:kern w:val="0"/>
                <w:sz w:val="20"/>
                <w:szCs w:val="20"/>
              </w:rPr>
            </w:pPr>
            <w:r>
              <w:rPr>
                <w:rFonts w:hint="eastAsia" w:ascii="宋体" w:hAnsi="宋体" w:cs="宋体"/>
                <w:kern w:val="0"/>
                <w:sz w:val="20"/>
                <w:szCs w:val="20"/>
              </w:rPr>
              <w:t>一、收入类调整项目（</w:t>
            </w:r>
            <w:r>
              <w:rPr>
                <w:rFonts w:ascii="宋体" w:hAnsi="宋体" w:cs="宋体"/>
                <w:kern w:val="0"/>
                <w:sz w:val="20"/>
                <w:szCs w:val="20"/>
              </w:rPr>
              <w:t>2+</w:t>
            </w:r>
            <w:r>
              <w:rPr>
                <w:rFonts w:hint="eastAsia" w:ascii="宋体" w:hAnsi="宋体" w:cs="宋体"/>
                <w:kern w:val="0"/>
                <w:sz w:val="20"/>
                <w:szCs w:val="20"/>
              </w:rPr>
              <w:t>…</w:t>
            </w:r>
            <w:r>
              <w:rPr>
                <w:rFonts w:ascii="宋体" w:hAnsi="宋体" w:cs="宋体"/>
                <w:kern w:val="0"/>
                <w:sz w:val="20"/>
                <w:szCs w:val="20"/>
              </w:rPr>
              <w:t>+10</w:t>
            </w:r>
            <w:r>
              <w:rPr>
                <w:rFonts w:hint="eastAsia" w:ascii="宋体" w:hAnsi="宋体" w:cs="宋体"/>
                <w:kern w:val="0"/>
                <w:sz w:val="20"/>
                <w:szCs w:val="20"/>
              </w:rPr>
              <w:t>）</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2</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（一）视同销售收入</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3</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（二）未按权责发生制原则确认的收入</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4</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（三）投资收益</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5</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（四）按权益法核算长期股权投资对初始投资成本调整确认收益</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r>
              <w:rPr>
                <w:rFonts w:ascii="宋体" w:hAnsi="宋体" w:cs="宋体"/>
                <w:kern w:val="0"/>
                <w:sz w:val="20"/>
                <w:szCs w:val="20"/>
              </w:rPr>
              <w:t>*</w:t>
            </w: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6</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（五）交易性金融资产初始投资调整</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7</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（六）公允价值变动净损益</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8</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（七）不征税收入</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9</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（八）销售折扣、折让和退回</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10</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（九）其他</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11</w:t>
            </w:r>
          </w:p>
        </w:tc>
        <w:tc>
          <w:tcPr>
            <w:tcW w:w="5582" w:type="dxa"/>
            <w:vAlign w:val="center"/>
          </w:tcPr>
          <w:p>
            <w:pPr>
              <w:widowControl/>
              <w:jc w:val="left"/>
              <w:rPr>
                <w:rFonts w:ascii="宋体"/>
                <w:kern w:val="0"/>
                <w:sz w:val="20"/>
                <w:szCs w:val="20"/>
              </w:rPr>
            </w:pPr>
            <w:r>
              <w:rPr>
                <w:rFonts w:hint="eastAsia" w:ascii="宋体" w:hAnsi="宋体" w:cs="宋体"/>
                <w:kern w:val="0"/>
                <w:sz w:val="20"/>
                <w:szCs w:val="20"/>
              </w:rPr>
              <w:t>二、扣除类调整项目（</w:t>
            </w:r>
            <w:r>
              <w:rPr>
                <w:rFonts w:ascii="宋体" w:hAnsi="宋体" w:cs="宋体"/>
                <w:kern w:val="0"/>
                <w:sz w:val="20"/>
                <w:szCs w:val="20"/>
              </w:rPr>
              <w:t>12+</w:t>
            </w: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0</w:t>
            </w:r>
            <w:r>
              <w:rPr>
                <w:rFonts w:ascii="宋体" w:hAnsi="宋体" w:cs="宋体"/>
                <w:kern w:val="0"/>
                <w:sz w:val="20"/>
                <w:szCs w:val="20"/>
              </w:rPr>
              <w:t>）</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12</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（一）视同销售成本</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r>
              <w:rPr>
                <w:rFonts w:ascii="宋体" w:hAnsi="宋体" w:cs="宋体"/>
                <w:kern w:val="0"/>
                <w:sz w:val="20"/>
                <w:szCs w:val="20"/>
              </w:rPr>
              <w:t>*</w:t>
            </w: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13</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（二）职工薪酬</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14</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（三）业务招待费支出</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15</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（四）广告费和业务宣传费支出</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16</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（五）捐赠支出</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17</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（六）利息支出</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18</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（七）罚金、罚款和被没收财物的损失</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19</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（八）税收滞纳金、加收利息</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20</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（九）赞助支出</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21</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（十）与未实现融资收益相关在当期确认的财务费用</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22</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（十一）佣金和手续费支出</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23</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（十二）不征税收入用于支出所形成的费用</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24</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（十三）跨期扣除项目</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25</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（十四）与取得收入无关的支出</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26</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（十五）境外所得分摊的共同支出</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2</w:t>
            </w:r>
            <w:r>
              <w:rPr>
                <w:rFonts w:hint="eastAsia" w:ascii="宋体" w:hAnsi="宋体" w:cs="宋体"/>
                <w:kern w:val="0"/>
                <w:sz w:val="20"/>
                <w:szCs w:val="20"/>
              </w:rPr>
              <w:t>7</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（十六）分摊境外总机构费用</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hAnsi="宋体" w:cs="宋体"/>
                <w:kern w:val="0"/>
                <w:sz w:val="20"/>
                <w:szCs w:val="20"/>
              </w:rPr>
            </w:pPr>
            <w:r>
              <w:rPr>
                <w:rFonts w:ascii="宋体" w:hAnsi="宋体" w:cs="宋体"/>
                <w:kern w:val="0"/>
                <w:sz w:val="20"/>
                <w:szCs w:val="20"/>
              </w:rPr>
              <w:t>2</w:t>
            </w:r>
            <w:r>
              <w:rPr>
                <w:rFonts w:hint="eastAsia" w:ascii="宋体" w:hAnsi="宋体" w:cs="宋体"/>
                <w:kern w:val="0"/>
                <w:sz w:val="20"/>
                <w:szCs w:val="20"/>
              </w:rPr>
              <w:t>8</w:t>
            </w:r>
          </w:p>
        </w:tc>
        <w:tc>
          <w:tcPr>
            <w:tcW w:w="5582" w:type="dxa"/>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（十七）向其他机构、场所分摊费用</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r>
              <w:rPr>
                <w:rFonts w:ascii="宋体" w:hAnsi="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hAnsi="宋体" w:cs="宋体"/>
                <w:kern w:val="0"/>
                <w:sz w:val="20"/>
                <w:szCs w:val="20"/>
              </w:rPr>
            </w:pPr>
            <w:r>
              <w:rPr>
                <w:rFonts w:hint="eastAsia" w:ascii="宋体" w:hAnsi="宋体" w:cs="宋体"/>
                <w:kern w:val="0"/>
                <w:sz w:val="20"/>
                <w:szCs w:val="20"/>
              </w:rPr>
              <w:t>29</w:t>
            </w:r>
          </w:p>
        </w:tc>
        <w:tc>
          <w:tcPr>
            <w:tcW w:w="5582" w:type="dxa"/>
            <w:vAlign w:val="center"/>
          </w:tcPr>
          <w:p>
            <w:pPr>
              <w:widowControl/>
              <w:ind w:firstLine="400" w:firstLineChars="200"/>
              <w:jc w:val="left"/>
              <w:rPr>
                <w:rFonts w:ascii="宋体" w:hAnsi="宋体" w:cs="宋体"/>
                <w:kern w:val="0"/>
                <w:sz w:val="20"/>
                <w:szCs w:val="20"/>
              </w:rPr>
            </w:pPr>
            <w:r>
              <w:rPr>
                <w:rFonts w:hint="eastAsia" w:ascii="宋体" w:hAnsi="宋体" w:cs="宋体"/>
                <w:kern w:val="0"/>
                <w:sz w:val="20"/>
                <w:szCs w:val="20"/>
              </w:rPr>
              <w:t>（十八）分摊资源勘探开发费用</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r>
              <w:rPr>
                <w:rFonts w:ascii="宋体" w:hAnsi="宋体" w:cs="宋体"/>
                <w:kern w:val="0"/>
                <w:sz w:val="20"/>
                <w:szCs w:val="20"/>
              </w:rPr>
              <w:t>*</w:t>
            </w: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0</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（十九）其他</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1</w:t>
            </w:r>
          </w:p>
        </w:tc>
        <w:tc>
          <w:tcPr>
            <w:tcW w:w="5582" w:type="dxa"/>
            <w:vAlign w:val="center"/>
          </w:tcPr>
          <w:p>
            <w:pPr>
              <w:widowControl/>
              <w:jc w:val="left"/>
              <w:rPr>
                <w:rFonts w:ascii="宋体"/>
                <w:kern w:val="0"/>
                <w:sz w:val="20"/>
                <w:szCs w:val="20"/>
              </w:rPr>
            </w:pPr>
            <w:r>
              <w:rPr>
                <w:rFonts w:hint="eastAsia" w:ascii="宋体" w:hAnsi="宋体" w:cs="宋体"/>
                <w:kern w:val="0"/>
                <w:sz w:val="20"/>
                <w:szCs w:val="20"/>
              </w:rPr>
              <w:t>三、资产类调整项目（</w:t>
            </w:r>
            <w:r>
              <w:rPr>
                <w:rFonts w:ascii="宋体" w:hAnsi="宋体" w:cs="宋体"/>
                <w:kern w:val="0"/>
                <w:sz w:val="20"/>
                <w:szCs w:val="20"/>
              </w:rPr>
              <w:t>3</w:t>
            </w:r>
            <w:r>
              <w:rPr>
                <w:rFonts w:hint="eastAsia" w:ascii="宋体" w:hAnsi="宋体" w:cs="宋体"/>
                <w:kern w:val="0"/>
                <w:sz w:val="20"/>
                <w:szCs w:val="20"/>
              </w:rPr>
              <w:t>2</w:t>
            </w:r>
            <w:r>
              <w:rPr>
                <w:rFonts w:ascii="宋体" w:hAnsi="宋体" w:cs="宋体"/>
                <w:kern w:val="0"/>
                <w:sz w:val="20"/>
                <w:szCs w:val="20"/>
              </w:rPr>
              <w:t>+3</w:t>
            </w:r>
            <w:r>
              <w:rPr>
                <w:rFonts w:hint="eastAsia" w:ascii="宋体" w:hAnsi="宋体" w:cs="宋体"/>
                <w:kern w:val="0"/>
                <w:sz w:val="20"/>
                <w:szCs w:val="20"/>
              </w:rPr>
              <w:t>4</w:t>
            </w:r>
            <w:r>
              <w:rPr>
                <w:rFonts w:ascii="宋体" w:hAnsi="宋体" w:cs="宋体"/>
                <w:kern w:val="0"/>
                <w:sz w:val="20"/>
                <w:szCs w:val="20"/>
              </w:rPr>
              <w:t>+3</w:t>
            </w:r>
            <w:r>
              <w:rPr>
                <w:rFonts w:hint="eastAsia" w:ascii="宋体" w:hAnsi="宋体" w:cs="宋体"/>
                <w:kern w:val="0"/>
                <w:sz w:val="20"/>
                <w:szCs w:val="20"/>
              </w:rPr>
              <w:t>5</w:t>
            </w:r>
            <w:r>
              <w:rPr>
                <w:rFonts w:ascii="宋体" w:hAnsi="宋体" w:cs="宋体"/>
                <w:kern w:val="0"/>
                <w:sz w:val="20"/>
                <w:szCs w:val="20"/>
              </w:rPr>
              <w:t>+3</w:t>
            </w:r>
            <w:r>
              <w:rPr>
                <w:rFonts w:hint="eastAsia" w:ascii="宋体" w:hAnsi="宋体" w:cs="宋体"/>
                <w:kern w:val="0"/>
                <w:sz w:val="20"/>
                <w:szCs w:val="20"/>
              </w:rPr>
              <w:t>6）</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2</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（一）资产折旧、摊销</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exact"/>
          <w:jc w:val="center"/>
        </w:trPr>
        <w:tc>
          <w:tcPr>
            <w:tcW w:w="640" w:type="dxa"/>
            <w:vAlign w:val="center"/>
          </w:tcPr>
          <w:p>
            <w:pPr>
              <w:widowControl/>
              <w:jc w:val="center"/>
              <w:rPr>
                <w:rFonts w:ascii="宋体" w:hAnsi="宋体" w:cs="宋体"/>
                <w:kern w:val="0"/>
                <w:sz w:val="20"/>
                <w:szCs w:val="20"/>
              </w:rPr>
            </w:pPr>
            <w:r>
              <w:rPr>
                <w:rFonts w:ascii="宋体" w:hAnsi="宋体" w:cs="宋体"/>
                <w:kern w:val="0"/>
                <w:sz w:val="20"/>
                <w:szCs w:val="20"/>
              </w:rPr>
              <w:t>3</w:t>
            </w:r>
            <w:r>
              <w:rPr>
                <w:rFonts w:hint="eastAsia" w:ascii="宋体" w:hAnsi="宋体" w:cs="宋体"/>
                <w:kern w:val="0"/>
                <w:sz w:val="20"/>
                <w:szCs w:val="20"/>
              </w:rPr>
              <w:t>3</w:t>
            </w:r>
          </w:p>
        </w:tc>
        <w:tc>
          <w:tcPr>
            <w:tcW w:w="5582" w:type="dxa"/>
            <w:vAlign w:val="center"/>
          </w:tcPr>
          <w:p>
            <w:pPr>
              <w:widowControl/>
              <w:ind w:firstLine="500" w:firstLineChars="250"/>
              <w:jc w:val="left"/>
              <w:rPr>
                <w:rFonts w:ascii="宋体" w:hAnsi="宋体" w:cs="宋体"/>
                <w:kern w:val="0"/>
                <w:sz w:val="20"/>
                <w:szCs w:val="20"/>
              </w:rPr>
            </w:pPr>
            <w:r>
              <w:rPr>
                <w:rFonts w:hint="eastAsia" w:ascii="宋体" w:hAnsi="宋体" w:cs="宋体"/>
                <w:kern w:val="0"/>
                <w:sz w:val="20"/>
                <w:szCs w:val="20"/>
              </w:rPr>
              <w:t>其中：固定资产加速折旧（扣除）调减额</w:t>
            </w:r>
            <w:r>
              <w:rPr>
                <w:rFonts w:ascii="宋体" w:hAnsi="宋体" w:cs="宋体"/>
                <w:kern w:val="0"/>
                <w:sz w:val="20"/>
                <w:szCs w:val="20"/>
              </w:rPr>
              <w:t>[项目</w:t>
            </w:r>
            <w:r>
              <w:rPr>
                <w:rFonts w:ascii="宋体" w:hAnsi="宋体" w:cs="宋体"/>
                <w:kern w:val="0"/>
                <w:sz w:val="20"/>
                <w:szCs w:val="20"/>
                <w:u w:val="single"/>
              </w:rPr>
              <w:t xml:space="preserve">       </w:t>
            </w:r>
            <w:r>
              <w:rPr>
                <w:rFonts w:hint="eastAsia" w:ascii="宋体" w:hAnsi="宋体" w:cs="宋体"/>
                <w:kern w:val="0"/>
                <w:sz w:val="20"/>
                <w:szCs w:val="20"/>
              </w:rPr>
              <w:t>（减免性质代码）</w:t>
            </w:r>
            <w:r>
              <w:rPr>
                <w:rFonts w:ascii="宋体" w:hAnsi="宋体" w:cs="宋体"/>
                <w:kern w:val="0"/>
                <w:sz w:val="20"/>
                <w:szCs w:val="20"/>
              </w:rPr>
              <w:t>]</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hAnsi="宋体" w:cs="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r>
              <w:rPr>
                <w:rFonts w:ascii="宋体" w:hAnsi="宋体" w:cs="宋体"/>
                <w:kern w:val="0"/>
                <w:sz w:val="20"/>
                <w:szCs w:val="20"/>
              </w:rPr>
              <w:t>*</w:t>
            </w: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4</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（二）资产减值准备金</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5</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（三）资产损失</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6</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（四）其他</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7</w:t>
            </w:r>
          </w:p>
        </w:tc>
        <w:tc>
          <w:tcPr>
            <w:tcW w:w="5582" w:type="dxa"/>
            <w:vAlign w:val="center"/>
          </w:tcPr>
          <w:p>
            <w:pPr>
              <w:widowControl/>
              <w:jc w:val="left"/>
              <w:rPr>
                <w:rFonts w:ascii="宋体"/>
                <w:kern w:val="0"/>
                <w:sz w:val="20"/>
                <w:szCs w:val="20"/>
              </w:rPr>
            </w:pPr>
            <w:r>
              <w:rPr>
                <w:rFonts w:hint="eastAsia" w:ascii="宋体" w:hAnsi="宋体" w:cs="宋体"/>
                <w:kern w:val="0"/>
                <w:sz w:val="20"/>
                <w:szCs w:val="20"/>
              </w:rPr>
              <w:t>四、特殊事项调整项目（</w:t>
            </w:r>
            <w:r>
              <w:rPr>
                <w:rFonts w:ascii="宋体" w:hAnsi="宋体" w:cs="宋体"/>
                <w:kern w:val="0"/>
                <w:sz w:val="20"/>
                <w:szCs w:val="20"/>
              </w:rPr>
              <w:t>3</w:t>
            </w:r>
            <w:r>
              <w:rPr>
                <w:rFonts w:hint="eastAsia" w:ascii="宋体" w:hAnsi="宋体" w:cs="宋体"/>
                <w:kern w:val="0"/>
                <w:sz w:val="20"/>
                <w:szCs w:val="20"/>
              </w:rPr>
              <w:t>8</w:t>
            </w:r>
            <w:r>
              <w:rPr>
                <w:rFonts w:ascii="宋体" w:hAnsi="宋体" w:cs="宋体"/>
                <w:kern w:val="0"/>
                <w:sz w:val="20"/>
                <w:szCs w:val="20"/>
              </w:rPr>
              <w:t>+</w:t>
            </w:r>
            <w:r>
              <w:rPr>
                <w:rFonts w:hint="eastAsia" w:ascii="宋体" w:hAnsi="宋体" w:cs="宋体"/>
                <w:kern w:val="0"/>
                <w:sz w:val="20"/>
                <w:szCs w:val="20"/>
              </w:rPr>
              <w:t>…</w:t>
            </w:r>
            <w:r>
              <w:rPr>
                <w:rFonts w:ascii="宋体" w:hAnsi="宋体" w:cs="宋体"/>
                <w:kern w:val="0"/>
                <w:sz w:val="20"/>
                <w:szCs w:val="20"/>
              </w:rPr>
              <w:t>+4</w:t>
            </w:r>
            <w:r>
              <w:rPr>
                <w:rFonts w:hint="eastAsia" w:ascii="宋体" w:hAnsi="宋体" w:cs="宋体"/>
                <w:kern w:val="0"/>
                <w:sz w:val="20"/>
                <w:szCs w:val="20"/>
              </w:rPr>
              <w:t>3）</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3</w:t>
            </w:r>
            <w:r>
              <w:rPr>
                <w:rFonts w:hint="eastAsia" w:ascii="宋体" w:hAnsi="宋体" w:cs="宋体"/>
                <w:kern w:val="0"/>
                <w:sz w:val="20"/>
                <w:szCs w:val="20"/>
              </w:rPr>
              <w:t>8</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（一）企业重组及递延纳税事项</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hint="eastAsia" w:ascii="宋体" w:hAnsi="宋体" w:cs="宋体"/>
                <w:kern w:val="0"/>
                <w:sz w:val="20"/>
                <w:szCs w:val="20"/>
              </w:rPr>
              <w:t>39</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（二）政策性搬迁</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0</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（三）特殊行业准备金</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1</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（四）房地产开发企业特定业务计算的纳税调整额</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2</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（五）合伙企业法人合伙人应分得的应纳税所得额</w:t>
            </w:r>
          </w:p>
        </w:tc>
        <w:tc>
          <w:tcPr>
            <w:tcW w:w="1061" w:type="dxa"/>
            <w:vAlign w:val="center"/>
          </w:tcPr>
          <w:p>
            <w:pPr>
              <w:widowControl/>
              <w:jc w:val="center"/>
              <w:rPr>
                <w:rFonts w:ascii="宋体"/>
                <w:kern w:val="0"/>
                <w:sz w:val="20"/>
                <w:szCs w:val="20"/>
              </w:rPr>
            </w:pPr>
          </w:p>
        </w:tc>
        <w:tc>
          <w:tcPr>
            <w:tcW w:w="1026" w:type="dxa"/>
            <w:vAlign w:val="center"/>
          </w:tcPr>
          <w:p>
            <w:pPr>
              <w:widowControl/>
              <w:jc w:val="center"/>
              <w:rPr>
                <w:rFonts w:ascii="宋体"/>
                <w:kern w:val="0"/>
                <w:sz w:val="20"/>
                <w:szCs w:val="20"/>
              </w:rPr>
            </w:pP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3</w:t>
            </w:r>
          </w:p>
        </w:tc>
        <w:tc>
          <w:tcPr>
            <w:tcW w:w="5582" w:type="dxa"/>
            <w:vAlign w:val="center"/>
          </w:tcPr>
          <w:p>
            <w:pPr>
              <w:widowControl/>
              <w:ind w:firstLine="400" w:firstLineChars="200"/>
              <w:jc w:val="left"/>
              <w:rPr>
                <w:rFonts w:ascii="宋体"/>
                <w:kern w:val="0"/>
                <w:sz w:val="20"/>
                <w:szCs w:val="20"/>
              </w:rPr>
            </w:pPr>
            <w:r>
              <w:rPr>
                <w:rFonts w:hint="eastAsia" w:ascii="宋体" w:hAnsi="宋体" w:cs="宋体"/>
                <w:kern w:val="0"/>
                <w:sz w:val="20"/>
                <w:szCs w:val="20"/>
              </w:rPr>
              <w:t>（六）其他</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4</w:t>
            </w:r>
          </w:p>
        </w:tc>
        <w:tc>
          <w:tcPr>
            <w:tcW w:w="5582" w:type="dxa"/>
            <w:vAlign w:val="center"/>
          </w:tcPr>
          <w:p>
            <w:pPr>
              <w:widowControl/>
              <w:jc w:val="left"/>
              <w:rPr>
                <w:rFonts w:ascii="宋体"/>
                <w:kern w:val="0"/>
                <w:sz w:val="20"/>
                <w:szCs w:val="20"/>
              </w:rPr>
            </w:pPr>
            <w:r>
              <w:rPr>
                <w:rFonts w:hint="eastAsia" w:ascii="宋体" w:hAnsi="宋体" w:cs="宋体"/>
                <w:kern w:val="0"/>
                <w:sz w:val="20"/>
                <w:szCs w:val="20"/>
              </w:rPr>
              <w:t>五、特别纳税调整应税所得</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5</w:t>
            </w:r>
          </w:p>
        </w:tc>
        <w:tc>
          <w:tcPr>
            <w:tcW w:w="5582" w:type="dxa"/>
            <w:vAlign w:val="center"/>
          </w:tcPr>
          <w:p>
            <w:pPr>
              <w:widowControl/>
              <w:jc w:val="left"/>
              <w:rPr>
                <w:rFonts w:ascii="宋体"/>
                <w:kern w:val="0"/>
                <w:sz w:val="20"/>
                <w:szCs w:val="20"/>
              </w:rPr>
            </w:pPr>
            <w:r>
              <w:rPr>
                <w:rFonts w:hint="eastAsia" w:ascii="宋体" w:hAnsi="宋体" w:cs="宋体"/>
                <w:kern w:val="0"/>
                <w:sz w:val="20"/>
                <w:szCs w:val="20"/>
              </w:rPr>
              <w:t>六、其他</w:t>
            </w:r>
          </w:p>
        </w:tc>
        <w:tc>
          <w:tcPr>
            <w:tcW w:w="1061" w:type="dxa"/>
            <w:vAlign w:val="center"/>
          </w:tcPr>
          <w:p>
            <w:pPr>
              <w:widowControl/>
              <w:jc w:val="center"/>
              <w:rPr>
                <w:rFonts w:ascii="宋体"/>
                <w:kern w:val="0"/>
                <w:sz w:val="20"/>
                <w:szCs w:val="20"/>
              </w:rPr>
            </w:pPr>
            <w:r>
              <w:rPr>
                <w:rFonts w:ascii="宋体" w:hAnsi="宋体" w:cs="宋体"/>
                <w:kern w:val="0"/>
                <w:sz w:val="20"/>
                <w:szCs w:val="20"/>
              </w:rPr>
              <w:t>*</w:t>
            </w:r>
          </w:p>
        </w:tc>
        <w:tc>
          <w:tcPr>
            <w:tcW w:w="1026" w:type="dxa"/>
            <w:vAlign w:val="center"/>
          </w:tcPr>
          <w:p>
            <w:pPr>
              <w:widowControl/>
              <w:jc w:val="center"/>
              <w:rPr>
                <w:rFonts w:ascii="宋体"/>
                <w:kern w:val="0"/>
                <w:sz w:val="20"/>
                <w:szCs w:val="20"/>
              </w:rPr>
            </w:pPr>
            <w:r>
              <w:rPr>
                <w:rFonts w:ascii="宋体" w:hAnsi="宋体" w:cs="宋体"/>
                <w:kern w:val="0"/>
                <w:sz w:val="20"/>
                <w:szCs w:val="20"/>
              </w:rPr>
              <w:t>*</w:t>
            </w:r>
          </w:p>
        </w:tc>
        <w:tc>
          <w:tcPr>
            <w:tcW w:w="1053" w:type="dxa"/>
            <w:vAlign w:val="center"/>
          </w:tcPr>
          <w:p>
            <w:pPr>
              <w:widowControl/>
              <w:jc w:val="center"/>
              <w:rPr>
                <w:rFonts w:ascii="宋体"/>
                <w:kern w:val="0"/>
                <w:sz w:val="20"/>
                <w:szCs w:val="20"/>
              </w:rPr>
            </w:pPr>
          </w:p>
        </w:tc>
        <w:tc>
          <w:tcPr>
            <w:tcW w:w="1016" w:type="dxa"/>
            <w:vAlign w:val="center"/>
          </w:tcPr>
          <w:p>
            <w:pPr>
              <w:widowControl/>
              <w:jc w:val="center"/>
              <w:rPr>
                <w:rFonts w:ascii="宋体"/>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exact"/>
          <w:jc w:val="center"/>
        </w:trPr>
        <w:tc>
          <w:tcPr>
            <w:tcW w:w="640" w:type="dxa"/>
            <w:tcBorders>
              <w:bottom w:val="single" w:color="auto" w:sz="12" w:space="0"/>
            </w:tcBorders>
            <w:vAlign w:val="center"/>
          </w:tcPr>
          <w:p>
            <w:pPr>
              <w:widowControl/>
              <w:jc w:val="center"/>
              <w:rPr>
                <w:rFonts w:ascii="宋体"/>
                <w:kern w:val="0"/>
                <w:sz w:val="20"/>
                <w:szCs w:val="20"/>
              </w:rPr>
            </w:pPr>
            <w:r>
              <w:rPr>
                <w:rFonts w:ascii="宋体" w:hAnsi="宋体" w:cs="宋体"/>
                <w:kern w:val="0"/>
                <w:sz w:val="20"/>
                <w:szCs w:val="20"/>
              </w:rPr>
              <w:t>4</w:t>
            </w:r>
            <w:r>
              <w:rPr>
                <w:rFonts w:hint="eastAsia" w:ascii="宋体" w:hAnsi="宋体" w:cs="宋体"/>
                <w:kern w:val="0"/>
                <w:sz w:val="20"/>
                <w:szCs w:val="20"/>
              </w:rPr>
              <w:t>6</w:t>
            </w:r>
          </w:p>
        </w:tc>
        <w:tc>
          <w:tcPr>
            <w:tcW w:w="5582" w:type="dxa"/>
            <w:tcBorders>
              <w:bottom w:val="single" w:color="auto" w:sz="12" w:space="0"/>
            </w:tcBorders>
            <w:vAlign w:val="center"/>
          </w:tcPr>
          <w:p>
            <w:pPr>
              <w:widowControl/>
              <w:jc w:val="left"/>
              <w:rPr>
                <w:rFonts w:ascii="宋体"/>
                <w:kern w:val="0"/>
                <w:sz w:val="20"/>
                <w:szCs w:val="20"/>
              </w:rPr>
            </w:pPr>
            <w:r>
              <w:rPr>
                <w:rFonts w:hint="eastAsia" w:ascii="宋体" w:hAnsi="宋体" w:cs="宋体"/>
                <w:kern w:val="0"/>
                <w:sz w:val="20"/>
                <w:szCs w:val="20"/>
              </w:rPr>
              <w:t>合计（</w:t>
            </w:r>
            <w:r>
              <w:rPr>
                <w:rFonts w:ascii="宋体" w:hAnsi="宋体" w:cs="宋体"/>
                <w:kern w:val="0"/>
                <w:sz w:val="20"/>
                <w:szCs w:val="20"/>
              </w:rPr>
              <w:t>1+11+3</w:t>
            </w:r>
            <w:r>
              <w:rPr>
                <w:rFonts w:hint="eastAsia" w:ascii="宋体" w:hAnsi="宋体" w:cs="宋体"/>
                <w:kern w:val="0"/>
                <w:sz w:val="20"/>
                <w:szCs w:val="20"/>
              </w:rPr>
              <w:t>1</w:t>
            </w:r>
            <w:r>
              <w:rPr>
                <w:rFonts w:ascii="宋体" w:hAnsi="宋体" w:cs="宋体"/>
                <w:kern w:val="0"/>
                <w:sz w:val="20"/>
                <w:szCs w:val="20"/>
              </w:rPr>
              <w:t>+3</w:t>
            </w:r>
            <w:r>
              <w:rPr>
                <w:rFonts w:hint="eastAsia" w:ascii="宋体" w:hAnsi="宋体" w:cs="宋体"/>
                <w:kern w:val="0"/>
                <w:sz w:val="20"/>
                <w:szCs w:val="20"/>
              </w:rPr>
              <w:t>7</w:t>
            </w:r>
            <w:r>
              <w:rPr>
                <w:rFonts w:ascii="宋体" w:hAnsi="宋体" w:cs="宋体"/>
                <w:kern w:val="0"/>
                <w:sz w:val="20"/>
                <w:szCs w:val="20"/>
              </w:rPr>
              <w:t>+4</w:t>
            </w:r>
            <w:r>
              <w:rPr>
                <w:rFonts w:hint="eastAsia" w:ascii="宋体" w:hAnsi="宋体" w:cs="宋体"/>
                <w:kern w:val="0"/>
                <w:sz w:val="20"/>
                <w:szCs w:val="20"/>
              </w:rPr>
              <w:t>4</w:t>
            </w:r>
            <w:r>
              <w:rPr>
                <w:rFonts w:ascii="宋体" w:hAnsi="宋体" w:cs="宋体"/>
                <w:kern w:val="0"/>
                <w:sz w:val="20"/>
                <w:szCs w:val="20"/>
              </w:rPr>
              <w:t>+4</w:t>
            </w:r>
            <w:r>
              <w:rPr>
                <w:rFonts w:hint="eastAsia" w:ascii="宋体" w:hAnsi="宋体" w:cs="宋体"/>
                <w:kern w:val="0"/>
                <w:sz w:val="20"/>
                <w:szCs w:val="20"/>
              </w:rPr>
              <w:t>5）</w:t>
            </w:r>
          </w:p>
        </w:tc>
        <w:tc>
          <w:tcPr>
            <w:tcW w:w="1061" w:type="dxa"/>
            <w:tcBorders>
              <w:bottom w:val="single" w:color="auto" w:sz="12" w:space="0"/>
            </w:tcBorders>
            <w:vAlign w:val="center"/>
          </w:tcPr>
          <w:p>
            <w:pPr>
              <w:widowControl/>
              <w:jc w:val="center"/>
              <w:rPr>
                <w:rFonts w:ascii="宋体"/>
                <w:kern w:val="0"/>
                <w:sz w:val="20"/>
                <w:szCs w:val="20"/>
              </w:rPr>
            </w:pPr>
            <w:r>
              <w:rPr>
                <w:rFonts w:ascii="宋体" w:hAnsi="宋体" w:cs="宋体"/>
                <w:kern w:val="0"/>
                <w:sz w:val="20"/>
                <w:szCs w:val="20"/>
              </w:rPr>
              <w:t>*</w:t>
            </w:r>
          </w:p>
        </w:tc>
        <w:tc>
          <w:tcPr>
            <w:tcW w:w="1026" w:type="dxa"/>
            <w:tcBorders>
              <w:bottom w:val="single" w:color="auto" w:sz="12" w:space="0"/>
            </w:tcBorders>
            <w:vAlign w:val="center"/>
          </w:tcPr>
          <w:p>
            <w:pPr>
              <w:widowControl/>
              <w:jc w:val="center"/>
              <w:rPr>
                <w:rFonts w:ascii="宋体"/>
                <w:kern w:val="0"/>
                <w:sz w:val="20"/>
                <w:szCs w:val="20"/>
              </w:rPr>
            </w:pPr>
            <w:r>
              <w:rPr>
                <w:rFonts w:ascii="宋体" w:hAnsi="宋体" w:cs="宋体"/>
                <w:kern w:val="0"/>
                <w:sz w:val="20"/>
                <w:szCs w:val="20"/>
              </w:rPr>
              <w:t>*</w:t>
            </w:r>
          </w:p>
        </w:tc>
        <w:tc>
          <w:tcPr>
            <w:tcW w:w="1053" w:type="dxa"/>
            <w:tcBorders>
              <w:bottom w:val="single" w:color="auto" w:sz="12" w:space="0"/>
            </w:tcBorders>
            <w:vAlign w:val="center"/>
          </w:tcPr>
          <w:p>
            <w:pPr>
              <w:widowControl/>
              <w:jc w:val="center"/>
              <w:rPr>
                <w:rFonts w:ascii="宋体"/>
                <w:kern w:val="0"/>
                <w:sz w:val="20"/>
                <w:szCs w:val="20"/>
              </w:rPr>
            </w:pPr>
          </w:p>
        </w:tc>
        <w:tc>
          <w:tcPr>
            <w:tcW w:w="1016" w:type="dxa"/>
            <w:tcBorders>
              <w:bottom w:val="single" w:color="auto" w:sz="12" w:space="0"/>
            </w:tcBorders>
            <w:vAlign w:val="center"/>
          </w:tcPr>
          <w:p>
            <w:pPr>
              <w:widowControl/>
              <w:jc w:val="center"/>
              <w:rPr>
                <w:rFonts w:ascii="宋体"/>
                <w:kern w:val="0"/>
                <w:sz w:val="20"/>
                <w:szCs w:val="20"/>
              </w:rPr>
            </w:pPr>
          </w:p>
        </w:tc>
      </w:tr>
    </w:tbl>
    <w:p>
      <w:pPr>
        <w:widowControl/>
        <w:wordWrap w:val="0"/>
        <w:jc w:val="right"/>
        <w:rPr>
          <w:sz w:val="20"/>
          <w:szCs w:val="20"/>
        </w:rPr>
        <w:sectPr>
          <w:headerReference r:id="rId4" w:type="first"/>
          <w:footerReference r:id="rId6" w:type="first"/>
          <w:headerReference r:id="rId3" w:type="default"/>
          <w:footerReference r:id="rId5" w:type="default"/>
          <w:pgSz w:w="11906" w:h="16838"/>
          <w:pgMar w:top="1134" w:right="1361" w:bottom="1134" w:left="1361" w:header="851" w:footer="992" w:gutter="0"/>
          <w:pgNumType w:fmt="numberInDash"/>
          <w:cols w:space="720" w:num="1"/>
          <w:titlePg/>
          <w:docGrid w:linePitch="312" w:charSpace="0"/>
        </w:sectPr>
      </w:pPr>
      <w:r>
        <w:rPr>
          <w:sz w:val="20"/>
          <w:szCs w:val="20"/>
        </w:rPr>
        <w:t xml:space="preserve">   </w:t>
      </w:r>
      <w:r>
        <w:rPr>
          <w:rFonts w:hint="eastAsia"/>
          <w:sz w:val="20"/>
          <w:szCs w:val="20"/>
        </w:rPr>
        <w:t>国家税务总局监制</w:t>
      </w:r>
    </w:p>
    <w:p>
      <w:pPr>
        <w:widowControl/>
        <w:adjustRightInd w:val="0"/>
        <w:snapToGrid w:val="0"/>
        <w:ind w:firstLine="420" w:firstLineChars="200"/>
        <w:jc w:val="left"/>
        <w:rPr>
          <w:rFonts w:ascii="宋体" w:hAnsi="宋体" w:cs="MS Mincho"/>
          <w:kern w:val="0"/>
          <w:szCs w:val="21"/>
        </w:rPr>
      </w:pPr>
      <w:r>
        <w:rPr>
          <w:rFonts w:hint="eastAsia"/>
          <w:color w:val="000000"/>
        </w:rPr>
        <w:t>【表单说明】</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一、适用范围</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本表为《中华人民共和国非居民企业所得税年度纳税申报表（2019年版）》(表F200)的附表，由纳税人根据税法、相关税收规定以及国家统一会计制度的规定，填报企业所得税涉税事项的会计处理与税务处理的差异以及纳税调整情况。</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二、有关项目填报说明</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本表纳税调整项目按照“收入类调整项目”“扣除类调整项目”“资产类调整项目”“特殊事项调整项目”“特别纳税调整应税所得”“其他”六大项分类填报汇总，并计算出纳税“调增数额”和“调减数额”的合计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数据栏分别设置“账载数额”“税收数额”“调增数额”“调减数额”四个栏次。“账载数额”是指纳税人按照国家统一会计制度规定核算的项目数额。“税收数额”是指纳税人按照税收规定（含有关以前年度金额结转的规定）计算的项目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（一）收入类调整项目</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1.第1行“一、收入类调整项目”：根据第2行至第10行进行填报。</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2.第2行“（一）视同销售收入”：填报会计处理不确认销售收入，而税收规定确认为应税收入的数额。第2列“税收数额”填报税收确认的应税收入数额；第3列“调增数额”等于第2列“税收数额”。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3.第3行“（二）未按权责发生制原则确认的收入”：填报会计上按照权责发生制原则确认收入，计税时按照收付实现制确认的收入，若第2列≥第1列，将第2-1列的余额填入本行第3列“调增数额”；若第2列＜第1列，将第2-1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4.第4行“（三）投资收益”：根据税法、相关税收规定以及国家统一企业会计制度，填报纳税调整情况。若第2列≥第1列，将第2-1列的余额填入本行第3列“调增数额”；若第2列＜第1列，将第2-1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5.第5行“（四）按权益法核算长期股权投资对初始投资成本调整确认收益”：第4列“调减数额”填报纳税人采取权益法核算，初始投资成本小于取得投资时应享有被投资单位可辨认净资产公允价值份额的差额计入取得投资当期的营业外收入的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6.第6行“（五）交易性金融资产初始投资调整”：第3列“调增数额”填报纳税人根据税收规定确认交易性金融资产初始投资数额与会计核算的交易性金融资产初始投资账面价值的差额。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7.第7行“（六）公允价值变动净损益”：第1列“账载数额”填报纳税人会计核算的以公允价值计量的金融资产、金融负债以及投资性房地产类项目，计入当期损益的公允价值变动数额；第1列≤0，将绝对值填入第3列“调增数额”；若第1列＞0，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8.第8行“（七）不征税收入”：填报纳税人计入收入总额但属于税收规定不征税的财政拨款、依法收取并纳入财政管理的行政事业性收费以及政府性基金和国务院规定的其他不征税收入。第3列“调增数额”填报纳税人以前年度取得财政性资金且已作为不征税收入处理，在5年（60个月）内未发生支出且未缴回财政部门或其他拨付资金的政府部门，应计入应税收入额的数额。第4列“调减数额”填报符合税收规定不征税收入条件并作为不征税收入处理，且已计入当期损益的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9.第9行“（八）销售折扣、折让和退回”：填报不符合税收规定的销售折扣和折让应进行纳税调整的数额，和发生的销售退回因会计处理与税收规定有差异需纳税调整的数额。第1列“账载数额”填报纳税人会计核算的销售折扣和折让数额及销货退回的追溯处理的净调整额。第2列“税收数额”填报根据税收规定可以税前扣除的折扣和折让的数额及销货退回业务影响当期损益的数额。第1列减第2列，若余额≥0，填入第3列“调增数额”；若余额＜0，将绝对值填入第4列“调减数额”，第4列仅为销货退回影响损益的跨期时间性差异。</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10.第10行“（九）其他”：填报其他因会计处理与税收规定有差异需纳税调整的收入类项目数额。若第2列≥第1列，将第2-1列的余额填入第3列“调增数额”；若第2列＜第1列，将第2-1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（二）扣除类调整项目</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1.第11行“二、扣除类调整项目”：根据第12行至第30行填报。</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2.第12行“（一）视同销售成本”：填报会计处理不作为销售核算，税收规定作为应税收入对应的销售成本数额。第2列“税收数额”填报税收确认的销售成本数额；第4列“调减数额”等于第2列“税收数额”。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3.第13行“（二）职工薪酬”：根据税法、相关税收规定以及国家统一企业会计制度，填报纳税人本年度支付给在本企业任职或者受雇的员工的所有现金形式或非现金形式的劳动报酬的会计处理、税法规定，以及纳税调整情况。若第1列≥第2列，将第1-2列的余额填入本行第3列“调增数额”；若第1列＜第2列，将第1-2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4.第14行“（三）业务招待费支出”：第1列“账载数额”填报纳税人会计核算计入当期损益的业务招待费数额。第2列“税收数额”填报按照税收规定允许税前扣除的业务招待费支出的数额。第3列“调增数额”为第1-2列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5.第15行“（四）广告费和业务宣传费支出”：根据税法、相关税收规定以及国家统一企业会计制度，填报广告费和业务宣传费会计处理、税法规定，以及跨年度纳税调整情况。若第1列≥第2列，将第1-2列的余额填入本行第3列“调增数额”；若第1列＜第2列，将第1-2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6.第16行“（五）捐赠支出”：根据税法、相关税收规定以及国家统一企业会计制度，第1列“账载数额”填报企业实际发生的所有捐赠。第2列“税收数额”填报按税收规定可以税前扣除的捐赠支出。若第1列≥第2列，将第1-2列的余额填入第3列“调增数额”；若第1列＜第2列，将第1-2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7.第17行“（六）利息支出”：第1列“账载数额”填报纳税人向非金融企业借款，会计核算计入当期损益的利息支出的数额。第2列“税收数额”填报按照税收规定允许税前扣除的利息支出的数额。若第1列≥第2列，将第1-2列的余额填入第3列“调增数额”；若第1列＜第2列，将第1-2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8.第18行“（七）罚金、罚款和被没收财物的损失”：第1列“账载数额”填报纳税人会计核算计入当期损益的罚金、罚款和被罚没财物的损失，不包括纳税人按照经济合同规定支付的违约金（包括银行罚息）、罚款和诉讼费。第3列“调增数额”等于第1列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9.第19行“（八）税收滞纳金、加收利息”：第1列“账载数额”填报纳税人会计核算计入当期损益的税收滞纳金、加收利息。第3列“调增数额”等于第1列数额。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10.第20行“（九）赞助支出”：第1列“账载数额”填报纳税人会计核算计入当期损益的不符合税收规定的公益性捐赠的赞助支出的数额，包括直接向受赠人的捐赠、赞助支出等（不含广告性的赞助支出，广告性的赞助支出在第15行“广告费和业务宣传费支出”中调整）。第3列“调增数额”等于第1列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11.第21行“（十）与未实现融资收益相关在当期确认的财务费用”：第1列“账载数额”填报纳税人会计核算的与未实现融资收益相关并在当期确认的财务费用的数额。第2列“税收数额”填报按照税收规定允许税前扣除的数额。若第1列≥第2列，将第1-2列的余额填入第3列“调增数额”；若第1列＜第2列，将第1-2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12.第22行“（十一）佣金和手续费支出”：第1列“账载数额”填报纳税人会计核算计入当期损益的佣金和手续费数额。第2列“税收数额”填报按照税收规定允许税前扣除的佣金和手续费支出数额。第3列“调增数额”为第1-2列的余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13.第23行“（十二）不征税收入用于支出所形成的费用”：第3列“调增数额”填报符合条件的不征税收入用于支出所形成的计入当期损益的费用化支出数额。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14.第24行“（十三）跨期扣除项目”：填报维简费、安全生产费用、预提费用、预计负债等跨期扣除项目调整情况。第1列“账载数额”填报纳税人会计核算计入当期损益的跨期扣除项目数额。第2列“税收数额”填报按照税收规定允许税前扣除的数额。若第1列≥第2列，将第1-2列的余额填入第3列“调增数额”；若第1列＜第2列，将第1-2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15.第25行“（十四）与取得收入无关的支出”：第1列“账载数额”填报纳税人会计核算计入当期损益的与取得收入无关的支出的数额。第3列“调增数额”等于第1列数额。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16.第26行“（十五）境外所得分摊的共同支出”：根据税法、相关税收规定，第3列“调增数额”填报本年按照税法规定计算的纳税人实际发生与取得境外所得有关但未直接计入境外所得应纳税所得的成本费用支出。</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17.第27行“（十六）分摊境外总机构费用”：第1列“账载数额”填报因分摊境外总机构费用而实际列入纳税人会计账目的数额。第2列“税收数额”填报按照税收规定可以分摊扣除的境外总机构费用数额。若第1列≥第2列，将第1-2列的余额填入第3列“调增数额”；若第1列＜第2列，则第3列“调增数额”为零。</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18.第28行“（十七）向其他机构、场所分摊的费用”：第1列“账载数额”填报因向其他机构、场所分摊费用而实际列入纳税人会计账目的数额。第2列“税收数额”填报按照税收规定应向其他机构、场所分摊的费用数额。若第2列≥第1列，将第2-1列的余额填入第3列“调增数额”；若第2列＜第1列，则第3列“调增数额”为零。</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19.第29行“（十八）分摊资源勘探开发费用”：填报可分摊的其他境内机构、场所资源勘探开发费用。将本年度可分摊的境内机构、场所资源勘探开发费用数额填入第2列，以第2列数额填入第4列“调减数额”。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20.第30行“（十九）其他”：填报其他因会计处理与税收规定有差异需纳税调整的扣除类项目数额。若第1列≥第2列，将第1-2列的余额填入第3列“调增数额”；若第1列＜第2列，将第1-2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（三）资产类调整项目</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1.第31行“三、资产类调整项目”：填报资产类调整项目第32、34、35、36行的合计数额。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32行“（一）资产折旧、摊销”：根据税法、相关税收规定以及国家统一企业会计制度，填报资产折旧、摊销的会计处理、税法规定，以及纳税调整情况。若第1列≥第2列，将第1-2列的余额填入本行第3列“调增数额”；若第1列＜第2列，将第1-2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3.第33行“其中：固定资产加速折旧（扣除）调减额”：填报纳税人享受各类固定资产加速折旧政策的优惠金额，即享受加速折旧政策的税法折旧额大于按税收一般规定计算的折旧额的差额。同时填报该固定资产加速折旧项目对应的减免性质代码。减免性质代码按照国家税务总局制定或更新的“减免税政策代码目录”填列。减免项目多于一项的，附页填报。</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4.第34行“（二）资产减值准备金”：填报坏账准备、存货跌价准备、理赔费用准备金等不允许税前扣除的各类资产减值准备金纳税调整情况。第1列“账载数额”填报纳税人会计核算计入当期损益的资产减值准备金数额（因价值恢复等原因转回的资产减值准备金应予以冲回）。第1列，若≥0，填入第3列“调增数额”；若＜0，将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5.第35行“（三）资产损失”：根据税法、相关税收规定及国家统一企业会计制度，填报资产损失的会计处理、税法规定，以及纳税调整情况。第1列“账载数额”填报本纳税年度实际发生的需报税务机关审批的财产损失数额，以及固定资产、无形资产转让、处置所得（损失）和金融资产转让、处置所得等损失数额；第2列“税收数额”填报税务机关审批的本纳税年度财产损失数额，以及按照税收规定计算的固定资产、无形资产转让、处置所得（损失）和金融资产转让、处置所得等损失数额，长期股权投资除外；若第1列≥第2列，将第1-2列的余额填入本行第3列“调增数额”；若第1列＜第2列，将第1-2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6.第36行“（四）其他”：填报其他因会计处理与税收规定有差异需纳税调整的资产类项目数额。若第1列≥第2列，将第1-2列余额填入第3列“调增数额”；若第1列＜第2列，将第1-2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（四）特殊事项调整项目</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1.第37行“四、特殊事项调整项目”：填报特殊事项调整项目第38行至第43行的合计数额。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38行“（一）企业重组及递延纳税事项”：根据税法、相关税收规定以及国家统一企业会计制度，填报企业重组的会计核算及税法规定，以及纳税调整情况。若第1列≥第2列，将第1-2列的余额填入本行第3列“调增数额”；若第1列＜第2列，将第1-2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3.第39行“（二）政策性搬迁”：根据税法、相关税收规定以及国家统一企业会计制度，填报企业政策性搬迁项目的相关会计处理、税法规定及纳税调整情况。若≥0，填入第3列“调增数额”；若＜0，将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4.第40行“（三）特殊行业准备金”：根据税法、相关税收规定以及国家统一企业会计制度，填报特殊行业准备金会计处理、税法规定及纳税调整情况。若第1列≥第2列，将第1-2列的余额填入本行第3列“调增数额”；若第1列＜第2列，将第1-2列余额的绝对值填入本行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5.第41行“（四）房地产开发企业特定业务计算的纳税调整额”：根据税法、相关税收规定以及国家统一企业会计制度，填报房地产企业销售未完工产品、未完工产品转完工产品特定业务的税法规定及纳税调整情况。将按照税法规定计算的数额填入本行第2列，若≥0，填入第3列“调增数额”；若＜0，将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6. 第42行“（五）合伙企业法人合伙人应分得的应纳税所得额”：第1列“账载数额”填报合伙企业法人合伙人本年会计核算上确认的对合伙企业的投资所得；第2列“税收数额”填报纳税人按照“先分后税”原则和相关税收规定计算的从合伙企业分得的法人合伙方应纳税所得额；若第1列≤第2列，将第2-1列的余额填入第3列“调增数额”，若第1列＞第2列，将第2-1列余额的绝对值填入第4列“调减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7.第43行“（六）其他”：填报其他因会计处理与税收规定有差异需纳税调整的特殊事项数额。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（五）特别纳税调整所得项目</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第44行“五、特别纳税调整应税所得”：第3列“调增数额”填报纳税人按特别纳税调整规定自行调增的当年应税所得。第4列“调减数额”填报纳税人依据双边预约定价安排或者转让定价相应调整磋商结果的通知，需要调减的当年应税所得。</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（六）其他</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1.第45行“六、其他”：其他会计处理与税收规定存在差异需纳税调整的项目数额。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2.第46行“合计”：填报第1+11+31+37+44+45行的合计数额。</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三、表内、表间关系</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（一）表内关系</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1.第1行＝第2+3+4+5+6+7+8+9+10行。</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2.第11行＝第12+13+14+…+29+30行。</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3.第31行＝第32+34+35+36行。</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4.第37行＝第38+39+40+41+42+43行。</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5.第46行＝第1+11+31+37+44+45行。</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（二）表间关系</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1.第46行第3列＝表F200第3行。</w:t>
      </w:r>
    </w:p>
    <w:p>
      <w:pPr>
        <w:widowControl/>
        <w:adjustRightInd w:val="0"/>
        <w:snapToGrid w:val="0"/>
        <w:ind w:firstLine="420" w:firstLineChars="200"/>
        <w:jc w:val="left"/>
        <w:rPr>
          <w:rFonts w:hint="eastAsia" w:ascii="宋体" w:hAnsi="宋体" w:cs="MS Mincho"/>
          <w:kern w:val="0"/>
          <w:szCs w:val="21"/>
        </w:rPr>
      </w:pPr>
      <w:r>
        <w:rPr>
          <w:rFonts w:hint="eastAsia" w:ascii="宋体" w:hAnsi="宋体" w:cs="MS Mincho"/>
          <w:kern w:val="0"/>
          <w:szCs w:val="21"/>
        </w:rPr>
        <w:t>2.第46行第4列＝表F200第4行。</w:t>
      </w:r>
    </w:p>
    <w:p>
      <w:pPr>
        <w:adjustRightInd w:val="0"/>
        <w:snapToGrid w:val="0"/>
        <w:ind w:firstLine="420" w:firstLineChars="200"/>
        <w:rPr>
          <w:rFonts w:ascii="宋体" w:hAnsi="宋体" w:cs="MS Mincho"/>
          <w:szCs w:val="21"/>
        </w:rPr>
        <w:sectPr>
          <w:pgSz w:w="11906" w:h="16838"/>
          <w:pgMar w:top="1440" w:right="1797" w:bottom="1440" w:left="1797" w:header="851" w:footer="992" w:gutter="0"/>
          <w:cols w:space="720" w:num="1"/>
          <w:docGrid w:type="lines" w:linePitch="326"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1461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w:t>
    </w:r>
    <w:r>
      <w:t xml:space="preserve"> 1452 -</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D4238"/>
    <w:rsid w:val="2B6F1907"/>
    <w:rsid w:val="426D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7">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8">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9">
    <w:name w:val="需求正文_0"/>
    <w:basedOn w:val="1"/>
    <w:qFormat/>
    <w:uiPriority w:val="0"/>
    <w:pPr>
      <w:widowControl/>
      <w:ind w:firstLine="420"/>
      <w:jc w:val="left"/>
    </w:pPr>
    <w:rPr>
      <w:rFonts w:ascii="Arial" w:hAnsi="Arial"/>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2019-10-31T07:37:00Z</dcterms:created>
  <dc:creator>陈莉佳</dc:creator>
  <cp:lastModifiedBy>曹新英</cp:lastModifiedBy>
  <dcterms:modified xsi:type="dcterms:W3CDTF">2021-06-18T04:09:44Z</dcterms:modified>
  <dc:title>F210                    纳税调整项目明细表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