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bookmarkStart w:id="0" w:name="_GoBack"/>
      <w:bookmarkEnd w:id="0"/>
      <w:r>
        <w:rPr>
          <w:rFonts w:hint="eastAsia"/>
          <w:b/>
          <w:sz w:val="28"/>
          <w:szCs w:val="28"/>
        </w:rPr>
        <w:t>非居民企业机构、场所汇总缴纳所得税税款分配表</w:t>
      </w:r>
    </w:p>
    <w:tbl>
      <w:tblPr>
        <w:tblStyle w:val="3"/>
        <w:tblW w:w="14179" w:type="dxa"/>
        <w:jc w:val="center"/>
        <w:tblInd w:w="0" w:type="dxa"/>
        <w:tblLayout w:type="fixed"/>
        <w:tblCellMar>
          <w:top w:w="0" w:type="dxa"/>
          <w:left w:w="108" w:type="dxa"/>
          <w:bottom w:w="0" w:type="dxa"/>
          <w:right w:w="108" w:type="dxa"/>
        </w:tblCellMar>
      </w:tblPr>
      <w:tblGrid>
        <w:gridCol w:w="1024"/>
        <w:gridCol w:w="2552"/>
        <w:gridCol w:w="895"/>
        <w:gridCol w:w="1234"/>
        <w:gridCol w:w="139"/>
        <w:gridCol w:w="1417"/>
        <w:gridCol w:w="1559"/>
        <w:gridCol w:w="1560"/>
        <w:gridCol w:w="1417"/>
        <w:gridCol w:w="2382"/>
      </w:tblGrid>
      <w:tr>
        <w:tblPrEx>
          <w:tblLayout w:type="fixed"/>
          <w:tblCellMar>
            <w:top w:w="0" w:type="dxa"/>
            <w:left w:w="108" w:type="dxa"/>
            <w:bottom w:w="0" w:type="dxa"/>
            <w:right w:w="108" w:type="dxa"/>
          </w:tblCellMar>
        </w:tblPrEx>
        <w:trPr>
          <w:trHeight w:val="285" w:hRule="atLeast"/>
          <w:jc w:val="center"/>
        </w:trPr>
        <w:tc>
          <w:tcPr>
            <w:tcW w:w="14179" w:type="dxa"/>
            <w:gridSpan w:val="10"/>
            <w:tcBorders>
              <w:top w:val="nil"/>
              <w:left w:val="nil"/>
              <w:bottom w:val="nil"/>
              <w:right w:val="nil"/>
            </w:tcBorders>
            <w:vAlign w:val="center"/>
          </w:tcPr>
          <w:p>
            <w:pPr>
              <w:jc w:val="center"/>
              <w:rPr>
                <w:rFonts w:ascii="宋体" w:hAnsi="宋体"/>
                <w:sz w:val="20"/>
                <w:szCs w:val="20"/>
              </w:rPr>
            </w:pPr>
            <w:r>
              <w:rPr>
                <w:rFonts w:hint="eastAsia" w:ascii="宋体" w:hAnsi="宋体" w:cs="宋体"/>
                <w:sz w:val="20"/>
                <w:szCs w:val="20"/>
              </w:rPr>
              <w:t>税款所属期间：</w:t>
            </w:r>
            <w:r>
              <w:rPr>
                <w:rFonts w:ascii="宋体" w:hAnsi="宋体" w:cs="宋体"/>
                <w:sz w:val="20"/>
                <w:szCs w:val="20"/>
              </w:rPr>
              <w:t xml:space="preserve">  </w:t>
            </w:r>
            <w:r>
              <w:rPr>
                <w:rFonts w:hint="eastAsia" w:ascii="宋体" w:hAnsi="宋体" w:cs="宋体"/>
                <w:sz w:val="20"/>
                <w:szCs w:val="20"/>
              </w:rPr>
              <w:t>年</w:t>
            </w:r>
            <w:r>
              <w:rPr>
                <w:rFonts w:ascii="宋体" w:hAnsi="宋体" w:cs="宋体"/>
                <w:sz w:val="20"/>
                <w:szCs w:val="20"/>
              </w:rPr>
              <w:t xml:space="preserve">  </w:t>
            </w:r>
            <w:r>
              <w:rPr>
                <w:rFonts w:hint="eastAsia" w:ascii="宋体" w:hAnsi="宋体" w:cs="宋体"/>
                <w:sz w:val="20"/>
                <w:szCs w:val="20"/>
              </w:rPr>
              <w:t>月</w:t>
            </w:r>
            <w:r>
              <w:rPr>
                <w:rFonts w:ascii="宋体" w:hAnsi="宋体" w:cs="宋体"/>
                <w:sz w:val="20"/>
                <w:szCs w:val="20"/>
              </w:rPr>
              <w:t xml:space="preserve">  </w:t>
            </w:r>
            <w:r>
              <w:rPr>
                <w:rFonts w:hint="eastAsia" w:ascii="宋体" w:hAnsi="宋体" w:cs="宋体"/>
                <w:sz w:val="20"/>
                <w:szCs w:val="20"/>
              </w:rPr>
              <w:t>日至</w:t>
            </w:r>
            <w:r>
              <w:rPr>
                <w:rFonts w:ascii="宋体" w:hAnsi="宋体" w:cs="宋体"/>
                <w:sz w:val="20"/>
                <w:szCs w:val="20"/>
              </w:rPr>
              <w:t xml:space="preserve">  </w:t>
            </w:r>
            <w:r>
              <w:rPr>
                <w:rFonts w:hint="eastAsia" w:ascii="宋体" w:hAnsi="宋体" w:cs="宋体"/>
                <w:sz w:val="20"/>
                <w:szCs w:val="20"/>
              </w:rPr>
              <w:t>年</w:t>
            </w:r>
            <w:r>
              <w:rPr>
                <w:rFonts w:ascii="宋体" w:hAnsi="宋体" w:cs="宋体"/>
                <w:sz w:val="20"/>
                <w:szCs w:val="20"/>
              </w:rPr>
              <w:t xml:space="preserve">  </w:t>
            </w:r>
            <w:r>
              <w:rPr>
                <w:rFonts w:hint="eastAsia" w:ascii="宋体" w:hAnsi="宋体" w:cs="宋体"/>
                <w:sz w:val="20"/>
                <w:szCs w:val="20"/>
              </w:rPr>
              <w:t>月</w:t>
            </w:r>
            <w:r>
              <w:rPr>
                <w:rFonts w:ascii="宋体" w:hAnsi="宋体" w:cs="宋体"/>
                <w:sz w:val="20"/>
                <w:szCs w:val="20"/>
              </w:rPr>
              <w:t xml:space="preserve">  </w:t>
            </w:r>
            <w:r>
              <w:rPr>
                <w:rFonts w:hint="eastAsia" w:ascii="宋体" w:hAnsi="宋体" w:cs="宋体"/>
                <w:sz w:val="20"/>
                <w:szCs w:val="20"/>
              </w:rPr>
              <w:t>日</w:t>
            </w:r>
          </w:p>
        </w:tc>
      </w:tr>
      <w:tr>
        <w:tblPrEx>
          <w:tblLayout w:type="fixed"/>
          <w:tblCellMar>
            <w:top w:w="0" w:type="dxa"/>
            <w:left w:w="108" w:type="dxa"/>
            <w:bottom w:w="0" w:type="dxa"/>
            <w:right w:w="108" w:type="dxa"/>
          </w:tblCellMar>
        </w:tblPrEx>
        <w:trPr>
          <w:trHeight w:val="315" w:hRule="atLeast"/>
          <w:jc w:val="center"/>
        </w:trPr>
        <w:tc>
          <w:tcPr>
            <w:tcW w:w="4471" w:type="dxa"/>
            <w:gridSpan w:val="3"/>
            <w:tcBorders>
              <w:top w:val="nil"/>
              <w:left w:val="nil"/>
              <w:bottom w:val="nil"/>
              <w:right w:val="nil"/>
            </w:tcBorders>
            <w:vAlign w:val="center"/>
          </w:tcPr>
          <w:p>
            <w:pPr>
              <w:rPr>
                <w:rFonts w:ascii="宋体" w:hAnsi="宋体"/>
                <w:sz w:val="20"/>
                <w:szCs w:val="20"/>
              </w:rPr>
            </w:pPr>
            <w:r>
              <w:rPr>
                <w:rFonts w:hint="eastAsia" w:ascii="宋体" w:hAnsi="宋体" w:cs="宋体"/>
                <w:sz w:val="20"/>
                <w:szCs w:val="20"/>
              </w:rPr>
              <w:t>主要机构、场所名称</w:t>
            </w:r>
            <w:r>
              <w:rPr>
                <w:rFonts w:ascii="宋体" w:hAnsi="宋体" w:cs="宋体"/>
              </w:rPr>
              <w:t xml:space="preserve">:                                                                   </w:t>
            </w:r>
          </w:p>
        </w:tc>
        <w:tc>
          <w:tcPr>
            <w:tcW w:w="1234" w:type="dxa"/>
            <w:tcBorders>
              <w:top w:val="nil"/>
              <w:left w:val="nil"/>
              <w:bottom w:val="nil"/>
              <w:right w:val="nil"/>
            </w:tcBorders>
            <w:vAlign w:val="center"/>
          </w:tcPr>
          <w:p>
            <w:pPr>
              <w:rPr>
                <w:rFonts w:ascii="宋体" w:hAnsi="宋体"/>
                <w:sz w:val="20"/>
                <w:szCs w:val="20"/>
              </w:rPr>
            </w:pPr>
          </w:p>
        </w:tc>
        <w:tc>
          <w:tcPr>
            <w:tcW w:w="4675" w:type="dxa"/>
            <w:gridSpan w:val="4"/>
            <w:tcBorders>
              <w:top w:val="nil"/>
              <w:left w:val="nil"/>
              <w:bottom w:val="nil"/>
              <w:right w:val="nil"/>
            </w:tcBorders>
            <w:vAlign w:val="center"/>
          </w:tcPr>
          <w:p>
            <w:pPr>
              <w:rPr>
                <w:rFonts w:ascii="宋体" w:hAnsi="宋体"/>
                <w:sz w:val="20"/>
                <w:szCs w:val="20"/>
              </w:rPr>
            </w:pPr>
          </w:p>
        </w:tc>
        <w:tc>
          <w:tcPr>
            <w:tcW w:w="3799" w:type="dxa"/>
            <w:gridSpan w:val="2"/>
            <w:tcBorders>
              <w:top w:val="nil"/>
              <w:left w:val="nil"/>
              <w:bottom w:val="nil"/>
              <w:right w:val="nil"/>
            </w:tcBorders>
            <w:vAlign w:val="center"/>
          </w:tcPr>
          <w:p>
            <w:pPr>
              <w:jc w:val="center"/>
              <w:rPr>
                <w:rFonts w:ascii="宋体" w:hAnsi="宋体"/>
                <w:sz w:val="20"/>
                <w:szCs w:val="20"/>
              </w:rPr>
            </w:pPr>
          </w:p>
        </w:tc>
      </w:tr>
      <w:tr>
        <w:tblPrEx>
          <w:tblLayout w:type="fixed"/>
          <w:tblCellMar>
            <w:top w:w="0" w:type="dxa"/>
            <w:left w:w="108" w:type="dxa"/>
            <w:bottom w:w="0" w:type="dxa"/>
            <w:right w:w="108" w:type="dxa"/>
          </w:tblCellMar>
        </w:tblPrEx>
        <w:trPr>
          <w:trHeight w:val="285" w:hRule="atLeast"/>
          <w:jc w:val="center"/>
        </w:trPr>
        <w:tc>
          <w:tcPr>
            <w:tcW w:w="5844" w:type="dxa"/>
            <w:gridSpan w:val="5"/>
            <w:tcBorders>
              <w:top w:val="nil"/>
              <w:left w:val="nil"/>
              <w:bottom w:val="single" w:color="auto" w:sz="12" w:space="0"/>
              <w:right w:val="nil"/>
            </w:tcBorders>
            <w:vAlign w:val="center"/>
          </w:tcPr>
          <w:p>
            <w:pPr>
              <w:rPr>
                <w:rFonts w:ascii="宋体" w:hAnsi="宋体"/>
                <w:sz w:val="20"/>
                <w:szCs w:val="20"/>
              </w:rPr>
            </w:pPr>
            <w:r>
              <w:rPr>
                <w:rFonts w:hint="eastAsia" w:ascii="宋体" w:hAnsi="宋体" w:cs="宋体"/>
                <w:sz w:val="20"/>
                <w:szCs w:val="20"/>
              </w:rPr>
              <w:t>主要机构、场所纳税人识别号（统一社会信用代码）：</w:t>
            </w:r>
          </w:p>
        </w:tc>
        <w:tc>
          <w:tcPr>
            <w:tcW w:w="4536" w:type="dxa"/>
            <w:gridSpan w:val="3"/>
            <w:tcBorders>
              <w:top w:val="nil"/>
              <w:left w:val="nil"/>
              <w:bottom w:val="single" w:color="auto" w:sz="12" w:space="0"/>
              <w:right w:val="nil"/>
            </w:tcBorders>
            <w:vAlign w:val="center"/>
          </w:tcPr>
          <w:p>
            <w:pPr>
              <w:rPr>
                <w:rFonts w:ascii="宋体" w:hAnsi="宋体"/>
                <w:sz w:val="20"/>
                <w:szCs w:val="20"/>
              </w:rPr>
            </w:pPr>
            <w:r>
              <w:rPr>
                <w:rFonts w:hint="eastAsia" w:ascii="宋体" w:hAnsi="宋体" w:cs="宋体"/>
                <w:sz w:val="20"/>
                <w:szCs w:val="20"/>
              </w:rPr>
              <w:t>　</w:t>
            </w:r>
          </w:p>
        </w:tc>
        <w:tc>
          <w:tcPr>
            <w:tcW w:w="3799" w:type="dxa"/>
            <w:gridSpan w:val="2"/>
            <w:tcBorders>
              <w:top w:val="nil"/>
              <w:left w:val="nil"/>
              <w:bottom w:val="single" w:color="auto" w:sz="12" w:space="0"/>
              <w:right w:val="nil"/>
            </w:tcBorders>
            <w:vAlign w:val="center"/>
          </w:tcPr>
          <w:p>
            <w:pPr>
              <w:jc w:val="center"/>
              <w:rPr>
                <w:rFonts w:ascii="宋体" w:hAnsi="宋体"/>
                <w:sz w:val="20"/>
                <w:szCs w:val="20"/>
              </w:rPr>
            </w:pPr>
            <w:r>
              <w:rPr>
                <w:rFonts w:hint="eastAsia" w:ascii="宋体" w:hAnsi="宋体" w:cs="宋体"/>
                <w:sz w:val="20"/>
                <w:szCs w:val="20"/>
              </w:rPr>
              <w:t>金额单位</w:t>
            </w:r>
            <w:r>
              <w:rPr>
                <w:rFonts w:ascii="宋体" w:hAnsi="宋体" w:cs="宋体"/>
                <w:sz w:val="20"/>
                <w:szCs w:val="20"/>
              </w:rPr>
              <w:t xml:space="preserve">: </w:t>
            </w:r>
            <w:r>
              <w:rPr>
                <w:rFonts w:hint="eastAsia" w:ascii="宋体" w:hAnsi="宋体" w:cs="宋体"/>
                <w:sz w:val="20"/>
                <w:szCs w:val="20"/>
              </w:rPr>
              <w:t>元（列至角分）</w:t>
            </w:r>
          </w:p>
        </w:tc>
      </w:tr>
      <w:tr>
        <w:tblPrEx>
          <w:tblLayout w:type="fixed"/>
          <w:tblCellMar>
            <w:top w:w="0" w:type="dxa"/>
            <w:left w:w="108" w:type="dxa"/>
            <w:bottom w:w="0" w:type="dxa"/>
            <w:right w:w="108" w:type="dxa"/>
          </w:tblCellMar>
        </w:tblPrEx>
        <w:trPr>
          <w:trHeight w:val="270" w:hRule="atLeast"/>
          <w:jc w:val="center"/>
        </w:trPr>
        <w:tc>
          <w:tcPr>
            <w:tcW w:w="3576"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可分摊所得税额</w:t>
            </w:r>
          </w:p>
        </w:tc>
        <w:tc>
          <w:tcPr>
            <w:tcW w:w="2268" w:type="dxa"/>
            <w:gridSpan w:val="3"/>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sz w:val="20"/>
                <w:szCs w:val="20"/>
              </w:rPr>
            </w:pPr>
            <w:r>
              <w:rPr>
                <w:rFonts w:hint="eastAsia" w:ascii="宋体" w:hAnsi="宋体" w:cs="宋体"/>
                <w:sz w:val="20"/>
                <w:szCs w:val="20"/>
              </w:rPr>
              <w:t>主要机构、场所</w:t>
            </w:r>
          </w:p>
          <w:p>
            <w:pPr>
              <w:jc w:val="center"/>
              <w:rPr>
                <w:rFonts w:ascii="宋体" w:hAnsi="宋体" w:cs="宋体"/>
                <w:sz w:val="20"/>
                <w:szCs w:val="20"/>
              </w:rPr>
            </w:pPr>
            <w:r>
              <w:rPr>
                <w:rFonts w:hint="eastAsia" w:ascii="宋体" w:hAnsi="宋体" w:cs="宋体"/>
                <w:sz w:val="20"/>
                <w:szCs w:val="20"/>
              </w:rPr>
              <w:t>直接分摊所得税额</w:t>
            </w:r>
          </w:p>
          <w:p>
            <w:pPr>
              <w:rPr>
                <w:rFonts w:ascii="宋体" w:hAnsi="宋体"/>
                <w:sz w:val="20"/>
                <w:szCs w:val="20"/>
              </w:rPr>
            </w:pPr>
          </w:p>
        </w:tc>
        <w:tc>
          <w:tcPr>
            <w:tcW w:w="4536" w:type="dxa"/>
            <w:gridSpan w:val="3"/>
            <w:tcBorders>
              <w:top w:val="single" w:color="auto" w:sz="12"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主要机构、场所财政集中分配所得税额</w:t>
            </w:r>
          </w:p>
        </w:tc>
        <w:tc>
          <w:tcPr>
            <w:tcW w:w="3799" w:type="dxa"/>
            <w:gridSpan w:val="2"/>
            <w:tcBorders>
              <w:top w:val="single" w:color="auto" w:sz="12" w:space="0"/>
              <w:left w:val="single" w:color="auto" w:sz="6" w:space="0"/>
              <w:bottom w:val="single" w:color="auto" w:sz="6" w:space="0"/>
              <w:right w:val="single" w:color="auto" w:sz="12" w:space="0"/>
            </w:tcBorders>
            <w:vAlign w:val="center"/>
          </w:tcPr>
          <w:p>
            <w:pPr>
              <w:jc w:val="center"/>
              <w:rPr>
                <w:rFonts w:ascii="宋体" w:hAnsi="宋体"/>
                <w:sz w:val="20"/>
                <w:szCs w:val="20"/>
              </w:rPr>
            </w:pPr>
            <w:r>
              <w:rPr>
                <w:rFonts w:hint="eastAsia" w:ascii="宋体" w:hAnsi="宋体" w:cs="宋体"/>
                <w:sz w:val="20"/>
                <w:szCs w:val="20"/>
              </w:rPr>
              <w:t>主体生产经营业务分摊所得税额</w:t>
            </w:r>
          </w:p>
        </w:tc>
      </w:tr>
      <w:tr>
        <w:tblPrEx>
          <w:tblLayout w:type="fixed"/>
          <w:tblCellMar>
            <w:top w:w="0" w:type="dxa"/>
            <w:left w:w="108" w:type="dxa"/>
            <w:bottom w:w="0" w:type="dxa"/>
            <w:right w:w="108" w:type="dxa"/>
          </w:tblCellMar>
        </w:tblPrEx>
        <w:trPr>
          <w:trHeight w:val="456" w:hRule="atLeast"/>
          <w:jc w:val="center"/>
        </w:trPr>
        <w:tc>
          <w:tcPr>
            <w:tcW w:w="3576" w:type="dxa"/>
            <w:gridSpan w:val="2"/>
            <w:tcBorders>
              <w:top w:val="single" w:color="auto" w:sz="6" w:space="0"/>
              <w:left w:val="single" w:color="auto" w:sz="12" w:space="0"/>
              <w:bottom w:val="single" w:color="auto" w:sz="12"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2268" w:type="dxa"/>
            <w:gridSpan w:val="3"/>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20"/>
                <w:szCs w:val="20"/>
              </w:rPr>
            </w:pPr>
          </w:p>
        </w:tc>
        <w:tc>
          <w:tcPr>
            <w:tcW w:w="4536" w:type="dxa"/>
            <w:gridSpan w:val="3"/>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20"/>
                <w:szCs w:val="20"/>
              </w:rPr>
            </w:pPr>
          </w:p>
        </w:tc>
        <w:tc>
          <w:tcPr>
            <w:tcW w:w="3799" w:type="dxa"/>
            <w:gridSpan w:val="2"/>
            <w:tcBorders>
              <w:top w:val="single" w:color="auto" w:sz="6" w:space="0"/>
              <w:left w:val="single" w:color="auto" w:sz="6" w:space="0"/>
              <w:bottom w:val="single" w:color="auto" w:sz="12" w:space="0"/>
              <w:right w:val="single" w:color="auto" w:sz="12" w:space="0"/>
            </w:tcBorders>
            <w:vAlign w:val="center"/>
          </w:tcPr>
          <w:p>
            <w:pPr>
              <w:jc w:val="center"/>
              <w:rPr>
                <w:rFonts w:ascii="宋体" w:hAns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70" w:hRule="atLeast"/>
          <w:jc w:val="center"/>
        </w:trPr>
        <w:tc>
          <w:tcPr>
            <w:tcW w:w="1024" w:type="dxa"/>
            <w:vMerge w:val="restart"/>
            <w:tcBorders>
              <w:top w:val="single" w:color="auto" w:sz="12" w:space="0"/>
              <w:left w:val="single" w:color="auto" w:sz="12" w:space="0"/>
              <w:bottom w:val="single" w:color="auto" w:sz="6" w:space="0"/>
              <w:right w:val="single" w:color="auto" w:sz="6" w:space="0"/>
            </w:tcBorders>
            <w:textDirection w:val="tbRlV"/>
            <w:vAlign w:val="top"/>
          </w:tcPr>
          <w:p>
            <w:pPr>
              <w:jc w:val="center"/>
              <w:rPr>
                <w:rFonts w:ascii="宋体" w:hAnsi="宋体" w:cs="宋体"/>
                <w:sz w:val="20"/>
                <w:szCs w:val="20"/>
              </w:rPr>
            </w:pPr>
            <w:r>
              <w:rPr>
                <w:rFonts w:hint="eastAsia" w:ascii="宋体" w:hAnsi="宋体" w:cs="宋体"/>
                <w:sz w:val="20"/>
                <w:szCs w:val="20"/>
              </w:rPr>
              <w:t>主体生产经营业务</w:t>
            </w:r>
          </w:p>
          <w:p>
            <w:pPr>
              <w:jc w:val="center"/>
              <w:rPr>
                <w:rFonts w:ascii="宋体" w:hAnsi="宋体"/>
                <w:sz w:val="20"/>
                <w:szCs w:val="20"/>
              </w:rPr>
            </w:pPr>
            <w:r>
              <w:rPr>
                <w:rFonts w:hint="eastAsia" w:ascii="宋体" w:hAnsi="宋体" w:cs="宋体"/>
                <w:sz w:val="20"/>
                <w:szCs w:val="20"/>
              </w:rPr>
              <w:t>分摊所得税情况</w:t>
            </w:r>
          </w:p>
        </w:tc>
        <w:tc>
          <w:tcPr>
            <w:tcW w:w="2552"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从事主体生产经营业务的机构、场所统一社会信用代码（纳税人识别号）</w:t>
            </w:r>
          </w:p>
        </w:tc>
        <w:tc>
          <w:tcPr>
            <w:tcW w:w="2268" w:type="dxa"/>
            <w:gridSpan w:val="3"/>
            <w:vMerge w:val="restart"/>
            <w:tcBorders>
              <w:top w:val="single" w:color="auto" w:sz="12"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从事主体生产经营业务的机构、场所名称</w:t>
            </w:r>
          </w:p>
        </w:tc>
        <w:tc>
          <w:tcPr>
            <w:tcW w:w="4536" w:type="dxa"/>
            <w:gridSpan w:val="3"/>
            <w:tcBorders>
              <w:top w:val="single" w:color="auto" w:sz="12"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三项因素</w:t>
            </w:r>
          </w:p>
        </w:tc>
        <w:tc>
          <w:tcPr>
            <w:tcW w:w="1417"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分配比例</w:t>
            </w:r>
          </w:p>
        </w:tc>
        <w:tc>
          <w:tcPr>
            <w:tcW w:w="2382" w:type="dxa"/>
            <w:vMerge w:val="restart"/>
            <w:tcBorders>
              <w:top w:val="single" w:color="auto" w:sz="12" w:space="0"/>
              <w:left w:val="single" w:color="auto" w:sz="6" w:space="0"/>
              <w:bottom w:val="single" w:color="auto" w:sz="6" w:space="0"/>
              <w:right w:val="single" w:color="auto" w:sz="12" w:space="0"/>
            </w:tcBorders>
            <w:vAlign w:val="center"/>
          </w:tcPr>
          <w:p>
            <w:pPr>
              <w:jc w:val="center"/>
              <w:rPr>
                <w:rFonts w:ascii="宋体" w:hAnsi="宋体"/>
                <w:sz w:val="20"/>
                <w:szCs w:val="20"/>
              </w:rPr>
            </w:pPr>
            <w:r>
              <w:rPr>
                <w:rFonts w:hint="eastAsia" w:ascii="宋体" w:hAnsi="宋体" w:cs="宋体"/>
                <w:sz w:val="20"/>
                <w:szCs w:val="20"/>
              </w:rPr>
              <w:t>分配所得税额</w:t>
            </w:r>
          </w:p>
        </w:tc>
      </w:tr>
      <w:tr>
        <w:tblPrEx>
          <w:tblLayout w:type="fixed"/>
          <w:tblCellMar>
            <w:top w:w="0" w:type="dxa"/>
            <w:left w:w="108" w:type="dxa"/>
            <w:bottom w:w="0" w:type="dxa"/>
            <w:right w:w="108" w:type="dxa"/>
          </w:tblCellMar>
        </w:tblPrEx>
        <w:trPr>
          <w:trHeight w:val="270" w:hRule="atLeast"/>
          <w:jc w:val="center"/>
        </w:trPr>
        <w:tc>
          <w:tcPr>
            <w:tcW w:w="1024"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sz w:val="20"/>
                <w:szCs w:val="20"/>
              </w:rPr>
            </w:pPr>
          </w:p>
        </w:tc>
        <w:tc>
          <w:tcPr>
            <w:tcW w:w="2552"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2268" w:type="dxa"/>
            <w:gridSpan w:val="3"/>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营业收入</w:t>
            </w: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职工薪酬</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资产总额</w:t>
            </w:r>
          </w:p>
        </w:tc>
        <w:tc>
          <w:tcPr>
            <w:tcW w:w="1417"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2382" w:type="dxa"/>
            <w:vMerge w:val="continue"/>
            <w:tcBorders>
              <w:top w:val="single" w:color="auto" w:sz="6" w:space="0"/>
              <w:left w:val="single" w:color="auto" w:sz="6" w:space="0"/>
              <w:bottom w:val="single" w:color="auto" w:sz="6" w:space="0"/>
              <w:right w:val="single" w:color="auto" w:sz="12" w:space="0"/>
            </w:tcBorders>
            <w:vAlign w:val="center"/>
          </w:tcPr>
          <w:p>
            <w:pPr>
              <w:rPr>
                <w:rFonts w:ascii="宋体" w:hAnsi="宋体"/>
                <w:sz w:val="20"/>
                <w:szCs w:val="20"/>
              </w:rPr>
            </w:pPr>
          </w:p>
        </w:tc>
      </w:tr>
      <w:tr>
        <w:tblPrEx>
          <w:tblLayout w:type="fixed"/>
          <w:tblCellMar>
            <w:top w:w="0" w:type="dxa"/>
            <w:left w:w="108" w:type="dxa"/>
            <w:bottom w:w="0" w:type="dxa"/>
            <w:right w:w="108" w:type="dxa"/>
          </w:tblCellMar>
        </w:tblPrEx>
        <w:trPr>
          <w:trHeight w:val="270" w:hRule="atLeast"/>
          <w:jc w:val="center"/>
        </w:trPr>
        <w:tc>
          <w:tcPr>
            <w:tcW w:w="1024"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sz w:val="20"/>
                <w:szCs w:val="20"/>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226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238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70" w:hRule="atLeast"/>
          <w:jc w:val="center"/>
        </w:trPr>
        <w:tc>
          <w:tcPr>
            <w:tcW w:w="1024"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sz w:val="20"/>
                <w:szCs w:val="20"/>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226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238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70" w:hRule="atLeast"/>
          <w:jc w:val="center"/>
        </w:trPr>
        <w:tc>
          <w:tcPr>
            <w:tcW w:w="1024"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sz w:val="20"/>
                <w:szCs w:val="20"/>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226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238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70" w:hRule="atLeast"/>
          <w:jc w:val="center"/>
        </w:trPr>
        <w:tc>
          <w:tcPr>
            <w:tcW w:w="1024"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sz w:val="20"/>
                <w:szCs w:val="20"/>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226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238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70" w:hRule="atLeast"/>
          <w:jc w:val="center"/>
        </w:trPr>
        <w:tc>
          <w:tcPr>
            <w:tcW w:w="1024"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sz w:val="20"/>
                <w:szCs w:val="20"/>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226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238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70" w:hRule="atLeast"/>
          <w:jc w:val="center"/>
        </w:trPr>
        <w:tc>
          <w:tcPr>
            <w:tcW w:w="1024"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sz w:val="20"/>
                <w:szCs w:val="20"/>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226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238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70" w:hRule="atLeast"/>
          <w:jc w:val="center"/>
        </w:trPr>
        <w:tc>
          <w:tcPr>
            <w:tcW w:w="1024"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sz w:val="20"/>
                <w:szCs w:val="20"/>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226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238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70" w:hRule="atLeast"/>
          <w:jc w:val="center"/>
        </w:trPr>
        <w:tc>
          <w:tcPr>
            <w:tcW w:w="1024"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sz w:val="20"/>
                <w:szCs w:val="20"/>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226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238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70" w:hRule="atLeast"/>
          <w:jc w:val="center"/>
        </w:trPr>
        <w:tc>
          <w:tcPr>
            <w:tcW w:w="1024"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sz w:val="20"/>
                <w:szCs w:val="20"/>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226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238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65" w:hRule="atLeast"/>
          <w:jc w:val="center"/>
        </w:trPr>
        <w:tc>
          <w:tcPr>
            <w:tcW w:w="1024" w:type="dxa"/>
            <w:vMerge w:val="continue"/>
            <w:tcBorders>
              <w:top w:val="single" w:color="auto" w:sz="6" w:space="0"/>
              <w:left w:val="single" w:color="auto" w:sz="12" w:space="0"/>
              <w:bottom w:val="single" w:color="auto" w:sz="4" w:space="0"/>
              <w:right w:val="single" w:color="auto" w:sz="6" w:space="0"/>
            </w:tcBorders>
            <w:vAlign w:val="center"/>
          </w:tcPr>
          <w:p>
            <w:pPr>
              <w:rPr>
                <w:rFonts w:ascii="宋体" w:hAnsi="宋体"/>
                <w:sz w:val="20"/>
                <w:szCs w:val="20"/>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合计</w:t>
            </w:r>
          </w:p>
        </w:tc>
        <w:tc>
          <w:tcPr>
            <w:tcW w:w="226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ascii="宋体" w:hAnsi="宋体" w:cs="宋体"/>
                <w:sz w:val="20"/>
                <w:szCs w:val="20"/>
              </w:rPr>
              <w:t>—</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238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936" w:hRule="atLeast"/>
          <w:jc w:val="center"/>
        </w:trPr>
        <w:tc>
          <w:tcPr>
            <w:tcW w:w="1024" w:type="dxa"/>
            <w:vMerge w:val="restart"/>
            <w:tcBorders>
              <w:top w:val="single" w:color="auto" w:sz="4" w:space="0"/>
              <w:left w:val="single" w:color="auto" w:sz="12" w:space="0"/>
              <w:right w:val="single" w:color="auto" w:sz="6" w:space="0"/>
            </w:tcBorders>
            <w:textDirection w:val="tbRlV"/>
            <w:vAlign w:val="center"/>
          </w:tcPr>
          <w:p>
            <w:pPr>
              <w:ind w:left="113" w:right="113"/>
              <w:rPr>
                <w:rFonts w:ascii="宋体" w:hAnsi="宋体"/>
                <w:sz w:val="20"/>
                <w:szCs w:val="20"/>
              </w:rPr>
            </w:pPr>
            <w:r>
              <w:rPr>
                <w:rFonts w:hint="eastAsia" w:ascii="宋体" w:hAnsi="宋体"/>
                <w:sz w:val="20"/>
                <w:szCs w:val="20"/>
              </w:rPr>
              <w:t>汇总纳税但未分摊所得税机构、场所情况</w:t>
            </w:r>
          </w:p>
        </w:tc>
        <w:tc>
          <w:tcPr>
            <w:tcW w:w="4820" w:type="dxa"/>
            <w:gridSpan w:val="4"/>
            <w:tcBorders>
              <w:top w:val="single" w:color="auto" w:sz="6" w:space="0"/>
              <w:left w:val="single" w:color="auto" w:sz="6" w:space="0"/>
              <w:right w:val="single" w:color="auto" w:sz="6" w:space="0"/>
            </w:tcBorders>
            <w:vAlign w:val="center"/>
          </w:tcPr>
          <w:p>
            <w:pPr>
              <w:jc w:val="center"/>
              <w:rPr>
                <w:rFonts w:ascii="宋体" w:hAnsi="宋体" w:cs="宋体"/>
                <w:sz w:val="20"/>
                <w:szCs w:val="20"/>
              </w:rPr>
            </w:pPr>
            <w:r>
              <w:rPr>
                <w:rFonts w:hint="eastAsia" w:ascii="宋体" w:hAnsi="宋体" w:cs="宋体"/>
                <w:sz w:val="20"/>
                <w:szCs w:val="20"/>
              </w:rPr>
              <w:t>汇总纳税但未分摊所得税的机构、场所统一社会信用代码（纳税人识别号）</w:t>
            </w:r>
          </w:p>
        </w:tc>
        <w:tc>
          <w:tcPr>
            <w:tcW w:w="4536" w:type="dxa"/>
            <w:gridSpan w:val="3"/>
            <w:tcBorders>
              <w:top w:val="single" w:color="auto" w:sz="6" w:space="0"/>
              <w:left w:val="single" w:color="auto" w:sz="6" w:space="0"/>
              <w:right w:val="single" w:color="auto" w:sz="6" w:space="0"/>
            </w:tcBorders>
            <w:vAlign w:val="center"/>
          </w:tcPr>
          <w:p>
            <w:pPr>
              <w:jc w:val="center"/>
              <w:rPr>
                <w:rFonts w:ascii="宋体" w:hAnsi="宋体" w:cs="宋体"/>
                <w:sz w:val="20"/>
                <w:szCs w:val="20"/>
              </w:rPr>
            </w:pPr>
            <w:r>
              <w:rPr>
                <w:rFonts w:hint="eastAsia" w:ascii="宋体" w:hAnsi="宋体" w:cs="宋体"/>
                <w:sz w:val="20"/>
                <w:szCs w:val="20"/>
              </w:rPr>
              <w:t>汇总纳税但未分摊所得税的机构、场所名称</w:t>
            </w:r>
          </w:p>
        </w:tc>
        <w:tc>
          <w:tcPr>
            <w:tcW w:w="1417" w:type="dxa"/>
            <w:tcBorders>
              <w:top w:val="single" w:color="auto" w:sz="6" w:space="0"/>
              <w:left w:val="single" w:color="auto" w:sz="6" w:space="0"/>
              <w:right w:val="single" w:color="auto" w:sz="6" w:space="0"/>
            </w:tcBorders>
            <w:vAlign w:val="center"/>
          </w:tcPr>
          <w:p>
            <w:pPr>
              <w:jc w:val="center"/>
              <w:rPr>
                <w:rFonts w:ascii="宋体" w:hAnsi="宋体" w:cs="宋体"/>
                <w:sz w:val="20"/>
                <w:szCs w:val="20"/>
              </w:rPr>
            </w:pPr>
            <w:r>
              <w:rPr>
                <w:rFonts w:hint="eastAsia" w:ascii="宋体" w:hAnsi="宋体" w:cs="宋体"/>
                <w:sz w:val="20"/>
                <w:szCs w:val="20"/>
              </w:rPr>
              <w:t>成本费用额</w:t>
            </w:r>
          </w:p>
        </w:tc>
        <w:tc>
          <w:tcPr>
            <w:tcW w:w="2382" w:type="dxa"/>
            <w:tcBorders>
              <w:top w:val="single" w:color="auto" w:sz="6" w:space="0"/>
              <w:left w:val="single" w:color="auto" w:sz="6" w:space="0"/>
              <w:right w:val="single" w:color="auto" w:sz="12" w:space="0"/>
            </w:tcBorders>
            <w:vAlign w:val="center"/>
          </w:tcPr>
          <w:p>
            <w:pPr>
              <w:jc w:val="center"/>
              <w:rPr>
                <w:rFonts w:ascii="宋体" w:hAnsi="宋体" w:cs="宋体"/>
                <w:sz w:val="20"/>
                <w:szCs w:val="20"/>
              </w:rPr>
            </w:pPr>
            <w:r>
              <w:rPr>
                <w:rFonts w:hint="eastAsia" w:ascii="宋体" w:hAnsi="宋体" w:cs="宋体"/>
                <w:sz w:val="20"/>
                <w:szCs w:val="20"/>
              </w:rPr>
              <w:t>资产额</w:t>
            </w:r>
          </w:p>
        </w:tc>
      </w:tr>
      <w:tr>
        <w:tblPrEx>
          <w:tblLayout w:type="fixed"/>
          <w:tblCellMar>
            <w:top w:w="0" w:type="dxa"/>
            <w:left w:w="108" w:type="dxa"/>
            <w:bottom w:w="0" w:type="dxa"/>
            <w:right w:w="108" w:type="dxa"/>
          </w:tblCellMar>
        </w:tblPrEx>
        <w:trPr>
          <w:trHeight w:val="270" w:hRule="atLeast"/>
          <w:jc w:val="center"/>
        </w:trPr>
        <w:tc>
          <w:tcPr>
            <w:tcW w:w="1024" w:type="dxa"/>
            <w:vMerge w:val="continue"/>
            <w:tcBorders>
              <w:left w:val="single" w:color="auto" w:sz="12" w:space="0"/>
              <w:right w:val="single" w:color="auto" w:sz="6" w:space="0"/>
            </w:tcBorders>
            <w:vAlign w:val="center"/>
          </w:tcPr>
          <w:p>
            <w:pPr>
              <w:rPr>
                <w:rFonts w:ascii="宋体" w:hAnsi="宋体"/>
                <w:sz w:val="20"/>
                <w:szCs w:val="20"/>
              </w:rPr>
            </w:pPr>
          </w:p>
        </w:tc>
        <w:tc>
          <w:tcPr>
            <w:tcW w:w="4820"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4536"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238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20"/>
                <w:szCs w:val="20"/>
              </w:rPr>
            </w:pPr>
          </w:p>
        </w:tc>
      </w:tr>
      <w:tr>
        <w:tblPrEx>
          <w:tblLayout w:type="fixed"/>
          <w:tblCellMar>
            <w:top w:w="0" w:type="dxa"/>
            <w:left w:w="108" w:type="dxa"/>
            <w:bottom w:w="0" w:type="dxa"/>
            <w:right w:w="108" w:type="dxa"/>
          </w:tblCellMar>
        </w:tblPrEx>
        <w:trPr>
          <w:trHeight w:val="285" w:hRule="atLeast"/>
          <w:jc w:val="center"/>
        </w:trPr>
        <w:tc>
          <w:tcPr>
            <w:tcW w:w="1024" w:type="dxa"/>
            <w:vMerge w:val="continue"/>
            <w:tcBorders>
              <w:left w:val="single" w:color="auto" w:sz="12" w:space="0"/>
              <w:bottom w:val="single" w:color="auto" w:sz="12" w:space="0"/>
              <w:right w:val="single" w:color="auto" w:sz="6" w:space="0"/>
            </w:tcBorders>
            <w:vAlign w:val="center"/>
          </w:tcPr>
          <w:p>
            <w:pPr>
              <w:rPr>
                <w:rFonts w:ascii="宋体" w:hAnsi="宋体"/>
                <w:sz w:val="20"/>
                <w:szCs w:val="20"/>
              </w:rPr>
            </w:pPr>
          </w:p>
        </w:tc>
        <w:tc>
          <w:tcPr>
            <w:tcW w:w="4820" w:type="dxa"/>
            <w:gridSpan w:val="4"/>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sz w:val="20"/>
                <w:szCs w:val="20"/>
              </w:rPr>
            </w:pPr>
          </w:p>
        </w:tc>
        <w:tc>
          <w:tcPr>
            <w:tcW w:w="4536" w:type="dxa"/>
            <w:gridSpan w:val="3"/>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　</w:t>
            </w:r>
          </w:p>
        </w:tc>
        <w:tc>
          <w:tcPr>
            <w:tcW w:w="2382"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70" w:hRule="atLeast"/>
          <w:jc w:val="center"/>
        </w:trPr>
        <w:tc>
          <w:tcPr>
            <w:tcW w:w="14179" w:type="dxa"/>
            <w:gridSpan w:val="10"/>
            <w:tcBorders>
              <w:top w:val="single" w:color="auto" w:sz="12" w:space="0"/>
              <w:left w:val="nil"/>
              <w:bottom w:val="nil"/>
              <w:right w:val="nil"/>
            </w:tcBorders>
            <w:vAlign w:val="bottom"/>
          </w:tcPr>
          <w:p>
            <w:pPr>
              <w:jc w:val="right"/>
              <w:rPr>
                <w:rFonts w:ascii="宋体" w:hAnsi="宋体"/>
                <w:sz w:val="20"/>
                <w:szCs w:val="20"/>
              </w:rPr>
            </w:pPr>
            <w:r>
              <w:rPr>
                <w:rFonts w:hint="eastAsia" w:ascii="宋体" w:hAnsi="宋体" w:cs="宋体"/>
                <w:sz w:val="20"/>
                <w:szCs w:val="20"/>
              </w:rPr>
              <w:t>国家税务总局监制</w:t>
            </w:r>
          </w:p>
        </w:tc>
      </w:tr>
    </w:tbl>
    <w:p>
      <w:pPr>
        <w:pStyle w:val="5"/>
        <w:ind w:firstLine="422"/>
        <w:rPr>
          <w:color w:val="000000"/>
        </w:rPr>
      </w:pPr>
      <w:r>
        <w:rPr>
          <w:rFonts w:hint="eastAsia"/>
          <w:color w:val="000000"/>
        </w:rPr>
        <w:t>【表单说明】</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一、适用范围</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本表为《中华人民共和国非居民企业所得税预缴申报表（2019年版）》（表F100）和《中华人民共和国非居民企业所得税年度纳税申报表（2019年版）》(表F200)的附表，由实行汇总纳税的非居民企业机构、场所（含主要机构、场所和其他机构、场所）填报。</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二、具体项目填报说明</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1.“税款所属期间”：填报税款所属年度或季度的起止日期。年度纳税申报时，纳税人当年实际经营期间不足一个纳税年度的，填报当年实际经营期间的起止日期。</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2. “主要机构、场所名称”“从事主体生产经营业务的机构、场所名称”“汇总纳税但未分摊所得税的机构、场所名称”：填报营业执照、税务登记证等证件载明的纳税人名称。汇总纳税但未分摊所得税的机构、场所是指符合相关规定条件可以纳入汇总计算缴纳企业所得税范围，但不就地分摊缴纳企业所得税的仅具有内部辅助管理或服务职能的机构、场所。</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3. “主要机构、场所纳税人识别号（统一社会信用代码）”“从事主体生产经营业务的机构、场所纳税人识别号（统一社会信用代码）”“未分摊所得税的机构、场所统一社会信用代码（纳税人识别号）”：填报税务机关核发的纳税人识别号或有关部门核发的统一社会信用代码。</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4.“可分摊所得税额”：预缴申报时，填报《中华人民共和国非居民企业所得税预缴申报表（2019年版）》（表F100）第21行“本期应补（退）所得税额”的本年累计金额。年度纳税申报时，填报《中华人民共和国非居民企业所得税年度纳税申报表（2019年版）》(表F200)中第32行“实际应纳所得税额”的申报金额。</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5.“主要机构、场所直接分摊所得税额”：填报按主要机构、场所直接分摊比例计算的数额。预缴申报时，计算公式为“本期应补（退）所得税额”×主要机构、场所直接分摊比例。年度纳税申报时，计算公式为“实际应纳所得税额”×主要机构、场所直接分摊比例。主要机构、场所直接分摊比例由国务院财政、税务主管部门或省税务机关规定。</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6.“主要机构、场所财政集中分配所得税额”：填报按主要机构、场所财政集中分配比例计算的数额。预缴申报时，计算公式为 “本期应补（退）所得税额”×主要机构、场所财政集中分配比例。年度纳税申报时，计算公式为“实际应纳所得税额”×主要机构、场所财政集中分配比例。主要机构、场所财政集中分配比例由国务院财政、税务主管部门或省税务机关规定。</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7.“主体生产经营业务分摊所得税额”：预缴申报时，填报按“本期应补（退）所得税额”-“主要机构、场所直接分摊所得税额”-“主要机构、场所财政集中分配所得税额”公式计算的数额。年度纳税申报时，填报按“实际应纳所得税额” -“主要机构、场所直接分摊所得税额” -“主要机构、场所财政集中分配所得税额”公式计算的数额。</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8.“营业收入”：预缴申报时，填报参与“主体生产经营业务分摊所得税额”分配的各机构、场所上一年度销售商品、提供劳务、让渡资产使用权等日常经营活动实现的全部收入的合计额。年度纳税申报时，填报参与“主体生产经营业务分摊所得税额”分配的各机构、场所本年度销售商品、提供劳务、让渡资产使用权等日常经营活动实现的全部收入的合计额。</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9.“职工薪酬”：预缴申报时，填报参与“主体生产经营业务分摊所得税额”分配的各机构、场所上一年度为获得职工提供的服务而给予各种形式的报酬以及其他相关支出的合计额。年度纳税申报时，填报参与“主体生产经营业务分摊所得税额”分配的各机构、场所本年度为获得职工提供的服务而给予各种形式的报酬以及其他相关支出的合计额。</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10.“资产总额”：预缴申报时，填报参与“主体生产经营业务分摊所得税额”分配的各机构、场所上一年度在经营活动中实际使用资产的合计额。年度纳税申报时，填报参与“主体生产经营业务分摊所得税额”分配的各机构、场所本年度实际使用资产的合计额。</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11.“分配比例”：填报按照国务院财政、税务主管部门或省税务机关规定确定的分配比例，分配比例应保留小数点后十位。</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12.“分配所得税额”：填报参与“主体生产经营业务分摊所得税额”分配的各机构、场所按照分配比例计算的结果（“主体生产经营业务分摊所得税额” ×“分配比例”）。</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13.“合计”：预缴申报时，填报参与“主体生产经营业务分摊所得税额”分配的各机构、场所上一年度的营业收入总额、职工薪酬总额和资产总额三项因素的合计数及当期各机构、场所分配比例和分配税额的合计数。年度纳税申报时，填报参与“主体生产经营业务分摊所得税额”分配的各机构、场所本年度的营业收入总额、职工薪酬总额和资产总额三项因素的合计数及当期各机构、场所分配比例和分配税额的合计数。</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14.“成本费用额”：填报汇总纳税但未分摊所得税的机构、场所当期发生的成本费用额。</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15.“资产额”：填报汇总纳税但未分摊所得税的机构、场所当期期末拥有的资产额。</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三、表内、表间关系</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（一）表内关系</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1. “可分摊所得税额” ＝“主要机构、场所直接分摊所得税额” + “主要机构、场所财政集中分配所得税额” +“主体生产经营业务分摊所得税额”</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2. “主体生产经营业务分摊所得税额” ＝“主体生产经营业务分摊所得税情况”栏“分配所得税额”列“合计”行</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（二）表间关系</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1. 预缴申报时，“可分摊所得税额”栏＝表F100第21行的本年累计金额。年度纳税申报时，“可分摊所得税额”栏＝表F200第32行的申报金额。</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2. 预缴申报时，“主要机构、场所直接分摊所得税额”栏＝表F100第23行。年度纳税申报时， “主要机构、场所直接分摊所得税额”栏＝表F200第36行。</w:t>
      </w:r>
    </w:p>
    <w:p>
      <w:pPr>
        <w:widowControl/>
        <w:ind w:firstLine="420" w:firstLineChars="200"/>
        <w:jc w:val="left"/>
        <w:rPr>
          <w:rFonts w:hint="eastAsia" w:ascii="宋体" w:hAnsi="宋体" w:cs="PMingLiU"/>
          <w:kern w:val="0"/>
          <w:szCs w:val="21"/>
        </w:rPr>
      </w:pPr>
      <w:r>
        <w:rPr>
          <w:rFonts w:hint="eastAsia" w:ascii="宋体" w:hAnsi="宋体" w:cs="PMingLiU"/>
          <w:kern w:val="0"/>
          <w:szCs w:val="21"/>
        </w:rPr>
        <w:t>3. 预缴申报时，“主要机构、场所财政集中分配所得税额”栏＝表F100第24行。年度纳税申报时，“主要机构、场所财政集中分配所得税额”栏＝表F200第37行。</w:t>
      </w:r>
    </w:p>
    <w:p>
      <w:pPr>
        <w:pStyle w:val="9"/>
        <w:rPr>
          <w:rFonts w:hint="eastAsia"/>
          <w:kern w:val="0"/>
        </w:rPr>
      </w:pPr>
      <w:r>
        <w:rPr>
          <w:rFonts w:hint="eastAsia"/>
          <w:kern w:val="0"/>
        </w:rPr>
        <w:t>4. 预缴申报时，“主体生产经营业务分摊所得税情况”栏对应主要机构、场所行次的“分配所得税额”列＝表F100第25行。年度纳税申报时，“主体生产经营业务分摊所得税情况”栏对应主要机构、场所行次的“分配所得税额”列＝表F200第38行。</w:t>
      </w:r>
    </w:p>
    <w:p>
      <w:pPr>
        <w:pStyle w:val="9"/>
        <w:rPr>
          <w:rFonts w:hint="eastAsia"/>
          <w:kern w:val="0"/>
        </w:rPr>
      </w:pPr>
      <w:r>
        <w:rPr>
          <w:rFonts w:hint="eastAsia"/>
          <w:kern w:val="0"/>
        </w:rPr>
        <w:t>5. 预缴申报时，“主体生产经营业务分摊所得税情况”栏对应本机构、场所行次的“分配比例”列＝表F100第26行。</w:t>
      </w:r>
    </w:p>
    <w:p>
      <w:pPr>
        <w:pStyle w:val="9"/>
        <w:rPr>
          <w:b/>
          <w:bCs/>
          <w:sz w:val="4"/>
          <w:szCs w:val="4"/>
        </w:rPr>
        <w:sectPr>
          <w:pgSz w:w="16838" w:h="11906" w:orient="landscape"/>
          <w:pgMar w:top="1797" w:right="1440" w:bottom="1797" w:left="1440" w:header="851" w:footer="992" w:gutter="0"/>
          <w:cols w:space="720" w:num="1"/>
          <w:docGrid w:type="lines" w:linePitch="326" w:charSpace="0"/>
        </w:sectPr>
      </w:pPr>
      <w:r>
        <w:rPr>
          <w:rFonts w:hint="eastAsia"/>
          <w:kern w:val="0"/>
        </w:rPr>
        <w:t>6. 预缴申报时，“主体生产经营业务分摊所得税情况”栏对应本机构、场所的“分配所得税额”列＝表F100第27行。年度纳税申报时，“主体生产经营业务分摊所得税情况”栏对应本机构、场所的“分配所得税额”列＝表F200第41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324B2"/>
    <w:rsid w:val="022324B2"/>
    <w:rsid w:val="0F4F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6">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7">
    <w:name w:val="需求正文_0"/>
    <w:basedOn w:val="1"/>
    <w:qFormat/>
    <w:uiPriority w:val="0"/>
    <w:pPr>
      <w:widowControl/>
      <w:ind w:firstLine="420"/>
      <w:jc w:val="left"/>
    </w:pPr>
    <w:rPr>
      <w:rFonts w:ascii="Arial" w:hAnsi="Arial"/>
      <w:szCs w:val="24"/>
    </w:rPr>
  </w:style>
  <w:style w:type="paragraph" w:customStyle="1" w:styleId="8">
    <w:name w:val="正文_0"/>
    <w:qFormat/>
    <w:uiPriority w:val="0"/>
    <w:rPr>
      <w:rFonts w:ascii="Times New Roman" w:hAnsi="Times New Roman" w:eastAsia="Times New Roman" w:cs="Times New Roman"/>
      <w:sz w:val="24"/>
      <w:szCs w:val="24"/>
      <w:lang w:val="en-US" w:eastAsia="zh-CN" w:bidi="ar-SA"/>
    </w:rPr>
  </w:style>
  <w:style w:type="paragraph" w:customStyle="1" w:styleId="9">
    <w:name w:val="需求正文"/>
    <w:basedOn w:val="1"/>
    <w:qFormat/>
    <w:uiPriority w:val="0"/>
    <w:pPr>
      <w:ind w:firstLine="420"/>
    </w:pPr>
    <w:rPr>
      <w:rFonts w:ascii="Arial" w:hAnsi="Arial"/>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2019-10-31T07:39:00Z</dcterms:created>
  <dc:creator>陈莉佳</dc:creator>
  <cp:lastModifiedBy>曹新英</cp:lastModifiedBy>
  <dcterms:modified xsi:type="dcterms:W3CDTF">2021-06-18T04:10:22Z</dcterms:modified>
  <dc:title>非居民企业机构、场所汇总缴纳所得税税款分配表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