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left"/>
        <w:rPr>
          <w:rFonts w:ascii="Times New Roman" w:hAnsi="Times New Roman" w:eastAsia="黑体"/>
          <w:color w:val="auto"/>
          <w:szCs w:val="32"/>
        </w:rPr>
      </w:pPr>
      <w:r>
        <w:rPr>
          <w:rFonts w:hint="eastAsia" w:ascii="Times New Roman" w:hAnsi="Times New Roman" w:eastAsia="黑体"/>
          <w:color w:val="auto"/>
          <w:szCs w:val="32"/>
          <w:lang w:eastAsia="zh-CN"/>
        </w:rPr>
        <w:t>附件</w:t>
      </w:r>
      <w:r>
        <w:rPr>
          <w:rFonts w:ascii="Times New Roman" w:hAnsi="Times New Roman" w:eastAsia="黑体"/>
          <w:color w:val="auto"/>
          <w:szCs w:val="32"/>
        </w:rPr>
        <w:t>4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乐企直连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</w:rPr>
        <w:t>服务授权委托书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单位名称：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纳税人识别号：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纳税人识别号：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  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一、乐企自用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单位授权其关联企业建设、管理平台，或授权不具关联关系的第三方企业承担建设责任，并承担因被授权单位的违法违规行为引发严重后果的连带责任。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二、被授权单位应当能够统筹建设或改造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乐企自用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单位及使用单位的自有业务系统以适配乐企服务要求；被授权单位为授权单位的关联企业时，被授权单位可按照税务机关的服务管理要求，代表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单位实施乐企对接，并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乐企自用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的管理工作。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应当具备的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Hans"/>
        </w:rPr>
        <w:t>（一）基本条件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.已纳入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数电票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开票试点纳税人范围；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.纳税信用等级为A、B级（B级纳税人需要定期提供货物流、资金流、现金流的有关数据）；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.近三年内不存在税务机关确定的重大税收违法行为；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.能按照税务机关要求依法提供相关涉税数据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，包括但不限于使用单位身份信息、取酬账户信息、经营收入情况等，以及需要特别提供的货物流、资金流、现金流等其他涉税数据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Hans"/>
        </w:rPr>
        <w:t>（二）技术和安全条件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1.有较强的信息化建设、服务、运维能力，企业自有信息系统具有软件著作权、使用权，或相关授权；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乐企自用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必须按照税务机关的要求保存数据并内嵌风险控制规则，同时向税务机关开放接口，供税务机关在线审计；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3.遵守网络安全、数据安全相关规定，遵循税务机关相关管理要求，如实向税务机关报告重大变化和使用单位情况，并承担因使用单位的违法违规行为引发严重后果的连带责任。</w:t>
      </w: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(签名)</w:t>
      </w:r>
    </w:p>
    <w:p>
      <w:pPr>
        <w:pStyle w:val="2"/>
        <w:spacing w:line="560" w:lineRule="exact"/>
        <w:ind w:left="0" w:leftChars="0"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日 </w:t>
      </w:r>
    </w:p>
    <w:p>
      <w:pPr>
        <w:pStyle w:val="2"/>
        <w:spacing w:line="560" w:lineRule="exact"/>
        <w:ind w:left="0" w:leftChars="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(签名)</w:t>
      </w:r>
    </w:p>
    <w:p>
      <w:pPr>
        <w:spacing w:line="56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日 </w:t>
      </w:r>
    </w:p>
    <w:p>
      <w:pPr>
        <w:spacing w:line="560" w:lineRule="exact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328E"/>
    <w:rsid w:val="140675C7"/>
    <w:rsid w:val="27DB20CF"/>
    <w:rsid w:val="4F3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陈宇亮</cp:lastModifiedBy>
  <dcterms:modified xsi:type="dcterms:W3CDTF">2023-06-01T00:23:38Z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